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03A" w:rsidRDefault="001C503A" w:rsidP="001C503A">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C503A" w:rsidTr="001C503A">
        <w:trPr>
          <w:jc w:val="center"/>
        </w:trPr>
        <w:tc>
          <w:tcPr>
            <w:tcW w:w="743" w:type="dxa"/>
            <w:hideMark/>
          </w:tcPr>
          <w:p w:rsidR="001C503A" w:rsidRDefault="001C503A">
            <w:pPr>
              <w:jc w:val="both"/>
              <w:rPr>
                <w:rFonts w:ascii="Arial (W1)" w:hAnsi="Arial (W1)"/>
                <w:b/>
                <w:bCs/>
                <w:sz w:val="26"/>
                <w:szCs w:val="26"/>
                <w:rtl/>
              </w:rPr>
            </w:pPr>
            <w:r>
              <w:rPr>
                <w:b/>
                <w:bCs/>
                <w:sz w:val="26"/>
                <w:szCs w:val="26"/>
                <w:rtl/>
              </w:rPr>
              <w:t xml:space="preserve">לפני </w:t>
            </w:r>
          </w:p>
        </w:tc>
        <w:tc>
          <w:tcPr>
            <w:tcW w:w="8077" w:type="dxa"/>
            <w:gridSpan w:val="2"/>
            <w:hideMark/>
          </w:tcPr>
          <w:p w:rsidR="001C503A" w:rsidRDefault="001C503A">
            <w:pPr>
              <w:rPr>
                <w:rFonts w:ascii="Arial" w:hAnsi="Arial"/>
                <w:b/>
                <w:bCs/>
                <w:sz w:val="26"/>
                <w:szCs w:val="26"/>
              </w:rPr>
            </w:pPr>
            <w:r>
              <w:rPr>
                <w:rFonts w:ascii="Arial" w:hAnsi="Arial"/>
                <w:b/>
                <w:bCs/>
                <w:sz w:val="26"/>
                <w:szCs w:val="26"/>
                <w:rtl/>
              </w:rPr>
              <w:t>כבוד ה</w:t>
            </w:r>
            <w:sdt>
              <w:sdtPr>
                <w:rPr>
                  <w:b/>
                  <w:bCs/>
                  <w:sz w:val="26"/>
                  <w:szCs w:val="26"/>
                  <w:rtl/>
                </w:rPr>
                <w:alias w:val="1574"/>
                <w:tag w:val="1574"/>
                <w:id w:val="-868990752"/>
                <w:text w:multiLine="1"/>
              </w:sdtPr>
              <w:sdtEndPr/>
              <w:sdtContent>
                <w:r>
                  <w:rPr>
                    <w:rFonts w:ascii="Arial" w:hAnsi="Arial"/>
                    <w:b/>
                    <w:bCs/>
                    <w:sz w:val="26"/>
                    <w:szCs w:val="26"/>
                    <w:rtl/>
                  </w:rPr>
                  <w:t>שופט</w:t>
                </w:r>
              </w:sdtContent>
            </w:sdt>
            <w:r>
              <w:rPr>
                <w:b/>
                <w:bCs/>
                <w:sz w:val="26"/>
                <w:szCs w:val="26"/>
                <w:rtl/>
              </w:rPr>
              <w:t>ים יונה</w:t>
            </w:r>
            <w:r>
              <w:rPr>
                <w:rFonts w:ascii="Arial" w:hAnsi="Arial"/>
                <w:b/>
                <w:bCs/>
                <w:sz w:val="26"/>
                <w:szCs w:val="26"/>
                <w:rtl/>
              </w:rPr>
              <w:t xml:space="preserve">  </w:t>
            </w:r>
            <w:sdt>
              <w:sdtPr>
                <w:rPr>
                  <w:b/>
                  <w:bCs/>
                  <w:sz w:val="26"/>
                  <w:szCs w:val="26"/>
                  <w:rtl/>
                </w:rPr>
                <w:alias w:val="1573"/>
                <w:tag w:val="1573"/>
                <w:id w:val="407734867"/>
                <w:text w:multiLine="1"/>
              </w:sdtPr>
              <w:sdtEndPr/>
              <w:sdtContent>
                <w:r>
                  <w:rPr>
                    <w:rFonts w:ascii="Arial" w:hAnsi="Arial"/>
                    <w:b/>
                    <w:bCs/>
                    <w:sz w:val="26"/>
                    <w:szCs w:val="26"/>
                    <w:rtl/>
                  </w:rPr>
                  <w:t>אטדגי</w:t>
                </w:r>
              </w:sdtContent>
            </w:sdt>
            <w:r>
              <w:rPr>
                <w:b/>
                <w:bCs/>
                <w:sz w:val="26"/>
                <w:szCs w:val="26"/>
                <w:rtl/>
              </w:rPr>
              <w:t xml:space="preserve">, אריאל </w:t>
            </w:r>
            <w:sdt>
              <w:sdtPr>
                <w:rPr>
                  <w:b/>
                  <w:bCs/>
                  <w:sz w:val="26"/>
                  <w:szCs w:val="26"/>
                  <w:rtl/>
                </w:rPr>
                <w:alias w:val="1573"/>
                <w:tag w:val="1573"/>
                <w:id w:val="-109966575"/>
                <w:text w:multiLine="1"/>
              </w:sdtPr>
              <w:sdtEndPr/>
              <w:sdtContent>
                <w:r>
                  <w:rPr>
                    <w:rFonts w:ascii="Arial" w:hAnsi="Arial"/>
                    <w:b/>
                    <w:bCs/>
                    <w:sz w:val="26"/>
                    <w:szCs w:val="26"/>
                    <w:rtl/>
                  </w:rPr>
                  <w:t>צימרמן</w:t>
                </w:r>
              </w:sdtContent>
            </w:sdt>
            <w:r>
              <w:rPr>
                <w:rFonts w:ascii="Arial" w:hAnsi="Arial"/>
                <w:b/>
                <w:bCs/>
                <w:sz w:val="26"/>
                <w:szCs w:val="26"/>
                <w:rtl/>
              </w:rPr>
              <w:t>, טל לוי-מיכאלי</w:t>
            </w:r>
          </w:p>
        </w:tc>
      </w:tr>
      <w:tr w:rsidR="001C503A" w:rsidTr="001C503A">
        <w:trPr>
          <w:jc w:val="center"/>
        </w:trPr>
        <w:tc>
          <w:tcPr>
            <w:tcW w:w="3249" w:type="dxa"/>
            <w:gridSpan w:val="2"/>
          </w:tcPr>
          <w:p w:rsidR="001C503A" w:rsidRDefault="001C503A">
            <w:pPr>
              <w:bidi w:val="0"/>
              <w:rPr>
                <w:rFonts w:ascii="Arial (W1)" w:hAnsi="Arial (W1)"/>
                <w:b/>
                <w:bCs/>
                <w:noProof w:val="0"/>
                <w:sz w:val="26"/>
                <w:szCs w:val="26"/>
                <w:rtl/>
              </w:rPr>
            </w:pPr>
          </w:p>
          <w:sdt>
            <w:sdtPr>
              <w:rPr>
                <w:sz w:val="26"/>
                <w:szCs w:val="26"/>
                <w:rtl/>
              </w:rPr>
              <w:alias w:val="1180"/>
              <w:tag w:val="1180"/>
              <w:id w:val="-803768281"/>
              <w:text w:multiLine="1"/>
            </w:sdtPr>
            <w:sdtEndPr/>
            <w:sdtContent>
              <w:p w:rsidR="001C503A" w:rsidRDefault="001C503A">
                <w:pPr>
                  <w:rPr>
                    <w:rFonts w:ascii="Arial (W1)" w:hAnsi="Arial (W1)"/>
                    <w:b/>
                    <w:bCs/>
                    <w:noProof w:val="0"/>
                    <w:sz w:val="26"/>
                    <w:szCs w:val="26"/>
                    <w:rtl/>
                  </w:rPr>
                </w:pPr>
                <w:r>
                  <w:rPr>
                    <w:b/>
                    <w:bCs/>
                    <w:noProof w:val="0"/>
                    <w:sz w:val="26"/>
                    <w:szCs w:val="26"/>
                    <w:rtl/>
                  </w:rPr>
                  <w:t>המערער/ המשיב:</w:t>
                </w:r>
              </w:p>
            </w:sdtContent>
          </w:sdt>
        </w:tc>
        <w:tc>
          <w:tcPr>
            <w:tcW w:w="5571" w:type="dxa"/>
          </w:tcPr>
          <w:p w:rsidR="001C503A" w:rsidRDefault="001C503A">
            <w:pPr>
              <w:rPr>
                <w:b/>
                <w:bCs/>
                <w:sz w:val="26"/>
                <w:szCs w:val="26"/>
              </w:rPr>
            </w:pPr>
          </w:p>
          <w:p w:rsidR="001C503A" w:rsidRDefault="001C503A">
            <w:pPr>
              <w:rPr>
                <w:rFonts w:ascii="Arial (W1)" w:hAnsi="Arial (W1)"/>
                <w:b/>
                <w:bCs/>
                <w:noProof w:val="0"/>
                <w:sz w:val="26"/>
                <w:szCs w:val="26"/>
                <w:rtl/>
              </w:rPr>
            </w:pPr>
            <w:r>
              <w:rPr>
                <w:b/>
                <w:bCs/>
                <w:sz w:val="26"/>
                <w:szCs w:val="26"/>
                <w:rtl/>
              </w:rPr>
              <w:t>אבישי גרינצייג</w:t>
            </w:r>
          </w:p>
          <w:p w:rsidR="001C503A" w:rsidRDefault="001C503A">
            <w:pPr>
              <w:rPr>
                <w:rFonts w:ascii="Arial (W1)" w:hAnsi="Arial (W1)"/>
                <w:b/>
                <w:bCs/>
                <w:noProof w:val="0"/>
                <w:sz w:val="26"/>
                <w:szCs w:val="26"/>
                <w:rtl/>
              </w:rPr>
            </w:pPr>
            <w:r>
              <w:rPr>
                <w:sz w:val="26"/>
                <w:szCs w:val="26"/>
                <w:rtl/>
              </w:rPr>
              <w:t>ע"י ב"כ עוה"ד אוהד רוזן ונתן שוורצמן</w:t>
            </w:r>
          </w:p>
        </w:tc>
      </w:tr>
      <w:tr w:rsidR="001C503A" w:rsidTr="001C503A">
        <w:trPr>
          <w:jc w:val="center"/>
        </w:trPr>
        <w:tc>
          <w:tcPr>
            <w:tcW w:w="8820" w:type="dxa"/>
            <w:gridSpan w:val="3"/>
          </w:tcPr>
          <w:p w:rsidR="001C503A" w:rsidRDefault="001C503A">
            <w:pPr>
              <w:rPr>
                <w:rFonts w:ascii="Arial (W1)" w:hAnsi="Arial (W1)"/>
                <w:b/>
                <w:bCs/>
                <w:noProof w:val="0"/>
                <w:sz w:val="26"/>
                <w:szCs w:val="26"/>
              </w:rPr>
            </w:pPr>
          </w:p>
          <w:p w:rsidR="001C503A" w:rsidRDefault="001C503A">
            <w:pPr>
              <w:rPr>
                <w:b/>
                <w:bCs/>
                <w:noProof w:val="0"/>
                <w:sz w:val="26"/>
                <w:szCs w:val="26"/>
                <w:rtl/>
              </w:rPr>
            </w:pPr>
            <w:r>
              <w:rPr>
                <w:b/>
                <w:bCs/>
                <w:noProof w:val="0"/>
                <w:sz w:val="26"/>
                <w:szCs w:val="26"/>
                <w:rtl/>
              </w:rPr>
              <w:t xml:space="preserve">                                                                נגד</w:t>
            </w:r>
          </w:p>
          <w:p w:rsidR="001C503A" w:rsidRDefault="001C503A">
            <w:pPr>
              <w:rPr>
                <w:rFonts w:ascii="Arial (W1)" w:hAnsi="Arial (W1)"/>
                <w:b/>
                <w:bCs/>
                <w:noProof w:val="0"/>
                <w:sz w:val="26"/>
                <w:szCs w:val="26"/>
                <w:rtl/>
              </w:rPr>
            </w:pPr>
          </w:p>
        </w:tc>
      </w:tr>
      <w:tr w:rsidR="001C503A" w:rsidTr="001C503A">
        <w:trPr>
          <w:jc w:val="center"/>
        </w:trPr>
        <w:tc>
          <w:tcPr>
            <w:tcW w:w="3249" w:type="dxa"/>
            <w:gridSpan w:val="2"/>
          </w:tcPr>
          <w:p w:rsidR="001C503A" w:rsidRDefault="001C503A">
            <w:pPr>
              <w:rPr>
                <w:rFonts w:ascii="Arial (W1)" w:hAnsi="Arial (W1)"/>
                <w:b/>
                <w:bCs/>
                <w:noProof w:val="0"/>
                <w:sz w:val="26"/>
                <w:szCs w:val="26"/>
              </w:rPr>
            </w:pPr>
          </w:p>
          <w:p w:rsidR="001C503A" w:rsidRDefault="00F570D9">
            <w:pPr>
              <w:rPr>
                <w:rFonts w:ascii="Arial (W1)" w:hAnsi="Arial (W1)"/>
                <w:b/>
                <w:bCs/>
                <w:noProof w:val="0"/>
                <w:sz w:val="26"/>
                <w:szCs w:val="26"/>
                <w:rtl/>
              </w:rPr>
            </w:pPr>
            <w:sdt>
              <w:sdtPr>
                <w:rPr>
                  <w:sz w:val="26"/>
                  <w:szCs w:val="26"/>
                  <w:rtl/>
                </w:rPr>
                <w:alias w:val="1184"/>
                <w:tag w:val="1184"/>
                <w:id w:val="-910234160"/>
                <w:text w:multiLine="1"/>
              </w:sdtPr>
              <w:sdtEndPr/>
              <w:sdtContent>
                <w:r w:rsidR="001C503A">
                  <w:rPr>
                    <w:b/>
                    <w:bCs/>
                    <w:noProof w:val="0"/>
                    <w:sz w:val="26"/>
                    <w:szCs w:val="26"/>
                    <w:rtl/>
                  </w:rPr>
                  <w:t xml:space="preserve">המשיב/ המערער: </w:t>
                </w:r>
              </w:sdtContent>
            </w:sdt>
          </w:p>
        </w:tc>
        <w:tc>
          <w:tcPr>
            <w:tcW w:w="5571" w:type="dxa"/>
          </w:tcPr>
          <w:p w:rsidR="001C503A" w:rsidRDefault="001C503A">
            <w:pPr>
              <w:rPr>
                <w:rFonts w:ascii="Arial (W1)" w:hAnsi="Arial (W1)"/>
                <w:b/>
                <w:bCs/>
                <w:noProof w:val="0"/>
                <w:sz w:val="26"/>
                <w:szCs w:val="26"/>
              </w:rPr>
            </w:pPr>
          </w:p>
          <w:p w:rsidR="001C503A" w:rsidRDefault="00F570D9">
            <w:pPr>
              <w:rPr>
                <w:b/>
                <w:bCs/>
                <w:sz w:val="26"/>
                <w:szCs w:val="26"/>
                <w:rtl/>
              </w:rPr>
            </w:pPr>
            <w:sdt>
              <w:sdtPr>
                <w:rPr>
                  <w:b/>
                  <w:bCs/>
                  <w:sz w:val="26"/>
                  <w:szCs w:val="26"/>
                  <w:rtl/>
                </w:rPr>
                <w:alias w:val="1486"/>
                <w:tag w:val="1486"/>
                <w:id w:val="1487590763"/>
                <w:text w:multiLine="1"/>
              </w:sdtPr>
              <w:sdtEndPr/>
              <w:sdtContent>
                <w:r w:rsidR="001C503A">
                  <w:rPr>
                    <w:b/>
                    <w:bCs/>
                    <w:sz w:val="26"/>
                    <w:szCs w:val="26"/>
                    <w:rtl/>
                  </w:rPr>
                  <w:t xml:space="preserve">אלי ציפורי </w:t>
                </w:r>
              </w:sdtContent>
            </w:sdt>
          </w:p>
          <w:p w:rsidR="001C503A" w:rsidRDefault="001C503A">
            <w:pPr>
              <w:rPr>
                <w:rFonts w:ascii="Arial (W1)" w:hAnsi="Arial (W1)"/>
                <w:b/>
                <w:bCs/>
                <w:noProof w:val="0"/>
                <w:sz w:val="26"/>
                <w:szCs w:val="26"/>
                <w:rtl/>
              </w:rPr>
            </w:pPr>
            <w:r>
              <w:rPr>
                <w:sz w:val="26"/>
                <w:szCs w:val="26"/>
                <w:rtl/>
              </w:rPr>
              <w:t>ע"י ב"כ עו"ד</w:t>
            </w:r>
            <w:r>
              <w:rPr>
                <w:rFonts w:ascii="Arial (W1)" w:hAnsi="Arial (W1)"/>
                <w:noProof w:val="0"/>
                <w:sz w:val="26"/>
                <w:szCs w:val="26"/>
                <w:rtl/>
              </w:rPr>
              <w:t xml:space="preserve"> אוהד מחרז</w:t>
            </w:r>
            <w:r>
              <w:rPr>
                <w:rFonts w:ascii="Arial (W1)" w:hAnsi="Arial (W1)"/>
                <w:b/>
                <w:bCs/>
                <w:noProof w:val="0"/>
                <w:sz w:val="26"/>
                <w:szCs w:val="26"/>
                <w:rtl/>
              </w:rPr>
              <w:t xml:space="preserve"> </w:t>
            </w:r>
          </w:p>
        </w:tc>
      </w:tr>
    </w:tbl>
    <w:p w:rsidR="001C503A" w:rsidRDefault="001C503A" w:rsidP="001C503A">
      <w:pPr>
        <w:suppressLineNumbers/>
        <w:rPr>
          <w:rFonts w:ascii="Arial (W1)" w:hAnsi="Arial (W1)"/>
          <w:sz w:val="28"/>
          <w:szCs w:val="28"/>
        </w:rPr>
      </w:pPr>
    </w:p>
    <w:p w:rsidR="001C503A" w:rsidRDefault="001C503A" w:rsidP="001C503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C503A" w:rsidTr="001C503A">
        <w:trPr>
          <w:jc w:val="center"/>
        </w:trPr>
        <w:tc>
          <w:tcPr>
            <w:tcW w:w="8820" w:type="dxa"/>
            <w:hideMark/>
          </w:tcPr>
          <w:p w:rsidR="001C503A" w:rsidRDefault="001C503A">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1C503A" w:rsidRDefault="001C503A" w:rsidP="001C503A">
      <w:pPr>
        <w:spacing w:line="360" w:lineRule="auto"/>
        <w:jc w:val="both"/>
        <w:rPr>
          <w:rFonts w:ascii="Arial" w:hAnsi="Arial"/>
          <w:noProof w:val="0"/>
        </w:rPr>
      </w:pPr>
    </w:p>
    <w:p w:rsidR="001C503A" w:rsidRDefault="001C503A" w:rsidP="001C503A">
      <w:pPr>
        <w:spacing w:line="360" w:lineRule="auto"/>
        <w:jc w:val="both"/>
        <w:rPr>
          <w:rFonts w:ascii="Arial" w:hAnsi="Arial"/>
          <w:b/>
          <w:bCs/>
          <w:noProof w:val="0"/>
          <w:u w:val="single"/>
          <w:rtl/>
        </w:rPr>
      </w:pPr>
      <w:r>
        <w:rPr>
          <w:rFonts w:ascii="Arial" w:hAnsi="Arial"/>
          <w:b/>
          <w:bCs/>
          <w:noProof w:val="0"/>
          <w:u w:val="single"/>
          <w:rtl/>
        </w:rPr>
        <w:t>השופט י. אטדגי, אב"ד</w:t>
      </w: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שני ערעורים על פסק דינו של בית משפט השלום בהרצליה (כב' השופט דוד יצחק) ב-ת"א 21557-11-20, שקיבל באופן חלקי את תביעתו של המערער בע"א 58271-09-23 (להלן – "</w:t>
      </w:r>
      <w:r>
        <w:rPr>
          <w:rFonts w:ascii="Arial" w:hAnsi="Arial"/>
          <w:b/>
          <w:bCs/>
          <w:noProof w:val="0"/>
          <w:rtl/>
        </w:rPr>
        <w:t>גרינצייג</w:t>
      </w:r>
      <w:r>
        <w:rPr>
          <w:rFonts w:ascii="Arial" w:hAnsi="Arial"/>
          <w:noProof w:val="0"/>
          <w:rtl/>
        </w:rPr>
        <w:t>") נגד המערער בע"א 59505-09-23 (להלן – "</w:t>
      </w:r>
      <w:r>
        <w:rPr>
          <w:rFonts w:ascii="Arial" w:hAnsi="Arial"/>
          <w:b/>
          <w:bCs/>
          <w:noProof w:val="0"/>
          <w:rtl/>
        </w:rPr>
        <w:t>ציפורי</w:t>
      </w:r>
      <w:r>
        <w:rPr>
          <w:rFonts w:ascii="Arial" w:hAnsi="Arial"/>
          <w:noProof w:val="0"/>
          <w:rtl/>
        </w:rPr>
        <w:t xml:space="preserve">") לפי </w:t>
      </w:r>
      <w:r>
        <w:rPr>
          <w:rFonts w:ascii="Arial" w:hAnsi="Arial"/>
          <w:b/>
          <w:bCs/>
          <w:noProof w:val="0"/>
          <w:rtl/>
        </w:rPr>
        <w:t>חוק איסור לשון הרע</w:t>
      </w:r>
      <w:r>
        <w:rPr>
          <w:rFonts w:ascii="Arial" w:hAnsi="Arial"/>
          <w:noProof w:val="0"/>
          <w:rtl/>
        </w:rPr>
        <w:t xml:space="preserve">, </w:t>
      </w:r>
      <w:r>
        <w:rPr>
          <w:rFonts w:ascii="Arial" w:hAnsi="Arial"/>
          <w:b/>
          <w:bCs/>
          <w:noProof w:val="0"/>
          <w:rtl/>
        </w:rPr>
        <w:t>התשכ"ה-1965</w:t>
      </w:r>
      <w:r>
        <w:rPr>
          <w:rFonts w:ascii="Arial" w:hAnsi="Arial"/>
          <w:noProof w:val="0"/>
          <w:rtl/>
        </w:rPr>
        <w:t xml:space="preserve"> (להלן – "</w:t>
      </w:r>
      <w:r>
        <w:rPr>
          <w:rFonts w:ascii="Arial" w:hAnsi="Arial"/>
          <w:b/>
          <w:bCs/>
          <w:noProof w:val="0"/>
          <w:rtl/>
        </w:rPr>
        <w:t>החוק</w:t>
      </w:r>
      <w:r w:rsidR="0098674D">
        <w:rPr>
          <w:rFonts w:ascii="Arial" w:hAnsi="Arial"/>
          <w:noProof w:val="0"/>
          <w:rtl/>
        </w:rPr>
        <w:t>") ודחה את תביעתו של ציפורי נ</w:t>
      </w:r>
      <w:r w:rsidR="0098674D">
        <w:rPr>
          <w:rFonts w:ascii="Arial" w:hAnsi="Arial" w:hint="cs"/>
          <w:noProof w:val="0"/>
          <w:rtl/>
        </w:rPr>
        <w:t>גד</w:t>
      </w:r>
      <w:r>
        <w:rPr>
          <w:rFonts w:ascii="Arial" w:hAnsi="Arial"/>
          <w:noProof w:val="0"/>
          <w:rtl/>
        </w:rPr>
        <w:t xml:space="preserve"> גרינצייג לפי אותו חוק. </w:t>
      </w:r>
    </w:p>
    <w:p w:rsidR="001C503A" w:rsidRDefault="001C503A" w:rsidP="001C503A">
      <w:pPr>
        <w:spacing w:line="360" w:lineRule="auto"/>
        <w:ind w:left="8"/>
        <w:jc w:val="both"/>
        <w:rPr>
          <w:rFonts w:ascii="Arial" w:hAnsi="Arial"/>
          <w:noProof w:val="0"/>
        </w:rPr>
      </w:pPr>
    </w:p>
    <w:p w:rsidR="001C503A" w:rsidRDefault="001C503A" w:rsidP="001C503A">
      <w:pPr>
        <w:spacing w:line="360" w:lineRule="auto"/>
        <w:ind w:left="8"/>
        <w:jc w:val="both"/>
        <w:rPr>
          <w:rFonts w:ascii="Arial" w:hAnsi="Arial"/>
          <w:b/>
          <w:bCs/>
          <w:noProof w:val="0"/>
        </w:rPr>
      </w:pPr>
      <w:r>
        <w:rPr>
          <w:rFonts w:ascii="Arial" w:hAnsi="Arial"/>
          <w:b/>
          <w:bCs/>
          <w:noProof w:val="0"/>
          <w:rtl/>
        </w:rPr>
        <w:t>התביעות ופסק הדין של בית משפט קמא</w:t>
      </w: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גרינצייג שימש בזמן הרלוונטי לתביעות הנדונות ככתב משפטי של עיתון גלובס (להלן – "</w:t>
      </w:r>
      <w:r>
        <w:rPr>
          <w:rFonts w:ascii="Arial" w:hAnsi="Arial"/>
          <w:b/>
          <w:bCs/>
          <w:noProof w:val="0"/>
          <w:rtl/>
        </w:rPr>
        <w:t>גלובס</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Pr>
      </w:pPr>
      <w:r>
        <w:rPr>
          <w:rFonts w:ascii="Arial" w:hAnsi="Arial"/>
          <w:noProof w:val="0"/>
          <w:rtl/>
        </w:rPr>
        <w:t>ציפורי שימש בעבר כסגן עורך ועורך בפועל בגלובס, בזמן הרלוונטי לתביעות הוא לא הועסק בגלובס.</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תביעתו של גרינצייג, שהועמדה על סך 1 מיליון ₪, הוגשה בגין 38 פרסומים שפרסם ציפורי אודותיו ברשתות החברתיות: טוויטר (כשמה אז), פייסבוק ואינסטגרם, שנטען שהביטויים הכלולים בהם מהווים פרסומים אסורים לפי </w:t>
      </w:r>
      <w:r>
        <w:rPr>
          <w:rFonts w:ascii="Arial" w:hAnsi="Arial"/>
          <w:b/>
          <w:bCs/>
          <w:noProof w:val="0"/>
          <w:rtl/>
        </w:rPr>
        <w:t>החוק</w:t>
      </w:r>
      <w:r>
        <w:rPr>
          <w:rFonts w:ascii="Arial" w:hAnsi="Arial"/>
          <w:noProof w:val="0"/>
          <w:rtl/>
        </w:rPr>
        <w:t xml:space="preserve"> (ריכוז הביטויים הובא בסעיף 62 לפסק הדין). </w:t>
      </w:r>
    </w:p>
    <w:p w:rsidR="001C503A" w:rsidRDefault="001C503A" w:rsidP="001C503A">
      <w:pPr>
        <w:pStyle w:val="ad"/>
        <w:spacing w:line="360" w:lineRule="auto"/>
        <w:ind w:left="368"/>
        <w:jc w:val="both"/>
        <w:rPr>
          <w:rFonts w:ascii="Arial" w:hAnsi="Arial"/>
          <w:noProof w:val="0"/>
          <w:rtl/>
        </w:rPr>
      </w:pPr>
      <w:r>
        <w:rPr>
          <w:rFonts w:ascii="Arial" w:hAnsi="Arial"/>
          <w:noProof w:val="0"/>
          <w:rtl/>
        </w:rPr>
        <w:t xml:space="preserve">תביעתו של ציפורי, שהועמדה על סך 200,000 ₪, הוגשה בגין 5 פרסומים שפרסם גרינצייג אודותיו ברשתות פייסבוק וטוויטר, שגם לגבי הביטויים הכלולים בהם נטען שהם מהווים פרסומים אסורים לפי </w:t>
      </w:r>
      <w:r>
        <w:rPr>
          <w:rFonts w:ascii="Arial" w:hAnsi="Arial"/>
          <w:b/>
          <w:bCs/>
          <w:noProof w:val="0"/>
          <w:rtl/>
        </w:rPr>
        <w:t xml:space="preserve">החוק </w:t>
      </w:r>
      <w:r>
        <w:rPr>
          <w:rFonts w:ascii="Arial" w:hAnsi="Arial"/>
          <w:noProof w:val="0"/>
          <w:rtl/>
        </w:rPr>
        <w:t>(ריכוז הביטויים ופירוטם הובא בסעיף 138 לפסק הדין).</w:t>
      </w:r>
    </w:p>
    <w:p w:rsidR="001C503A" w:rsidRDefault="001C503A" w:rsidP="001C503A">
      <w:pPr>
        <w:pStyle w:val="ad"/>
        <w:spacing w:line="360" w:lineRule="auto"/>
        <w:ind w:left="368"/>
        <w:jc w:val="both"/>
        <w:rPr>
          <w:rFonts w:ascii="Arial" w:hAnsi="Arial"/>
          <w:noProof w:val="0"/>
          <w:rtl/>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lastRenderedPageBreak/>
        <w:t>בית משפט קמא הקדים וציין, כי על יסוד המבחנים שנקבעו בפסיקה, יש לראות בצדדים שלפניו "</w:t>
      </w:r>
      <w:r>
        <w:rPr>
          <w:rFonts w:ascii="Arial" w:hAnsi="Arial"/>
          <w:b/>
          <w:bCs/>
          <w:noProof w:val="0"/>
          <w:rtl/>
        </w:rPr>
        <w:t>דמויות ציבוריות</w:t>
      </w:r>
      <w:r>
        <w:rPr>
          <w:rFonts w:ascii="Arial" w:hAnsi="Arial"/>
          <w:noProof w:val="0"/>
          <w:rtl/>
        </w:rPr>
        <w:t xml:space="preserve">" לצורך הגדרת גבולות הפרשנות של פרסום לשון הרע, בהתחשב בעבודתם העיתונאית ובהיקף הפרסום שלהם בחשבונותיהם ברשתות החברתיות. </w:t>
      </w:r>
    </w:p>
    <w:p w:rsidR="001C503A" w:rsidRDefault="001C503A" w:rsidP="001C503A">
      <w:pPr>
        <w:pStyle w:val="ad"/>
        <w:spacing w:line="360" w:lineRule="auto"/>
        <w:ind w:left="368"/>
        <w:jc w:val="both"/>
        <w:rPr>
          <w:rFonts w:ascii="Arial" w:hAnsi="Arial"/>
          <w:noProof w:val="0"/>
        </w:rPr>
      </w:pPr>
      <w:r>
        <w:rPr>
          <w:rFonts w:ascii="Arial" w:hAnsi="Arial"/>
          <w:noProof w:val="0"/>
          <w:rtl/>
        </w:rPr>
        <w:t>"</w:t>
      </w:r>
      <w:r>
        <w:rPr>
          <w:rFonts w:ascii="Arial" w:hAnsi="Arial"/>
          <w:b/>
          <w:bCs/>
          <w:noProof w:val="0"/>
          <w:rtl/>
        </w:rPr>
        <w:t>להבדיל מאדם פרטי</w:t>
      </w:r>
      <w:r>
        <w:rPr>
          <w:rFonts w:ascii="Arial" w:hAnsi="Arial"/>
          <w:noProof w:val="0"/>
          <w:rtl/>
        </w:rPr>
        <w:t>", הוסיף בית המשפט, "</w:t>
      </w:r>
      <w:r>
        <w:rPr>
          <w:rFonts w:ascii="Arial" w:hAnsi="Arial"/>
          <w:b/>
          <w:bCs/>
          <w:noProof w:val="0"/>
          <w:rtl/>
        </w:rPr>
        <w:t>כאשר מדובר בגורם עיתונאי יש מקום למתן הגנה גבוהה יותר לחופש הביטוי בנקודת האיזון אל מול השם הטוב, בפרט מקום בו ניתן להבין את הפרסום כביקורת והבעת עמדה סובייקטיבית על ההתנהלות העיתונאית</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בהתייחס לתביעתו של גרינצייג, בית המשפט קמא חילק את הביטויים הכלולים בפרסומים לשתי קבוצות: הראשונה כוללת ביטויים שהוא מצא שהם אינם פרסומים אסורים לפי </w:t>
      </w:r>
      <w:r>
        <w:rPr>
          <w:rFonts w:ascii="Arial" w:hAnsi="Arial"/>
          <w:b/>
          <w:bCs/>
          <w:noProof w:val="0"/>
          <w:rtl/>
        </w:rPr>
        <w:t>החוק</w:t>
      </w:r>
      <w:r>
        <w:rPr>
          <w:rFonts w:ascii="Arial" w:hAnsi="Arial"/>
          <w:noProof w:val="0"/>
          <w:rtl/>
        </w:rPr>
        <w:t xml:space="preserve">, והשנייה כוללת ביטויים שהוא מצא שהם פרסומים אסורים לפי </w:t>
      </w:r>
      <w:r w:rsidRPr="0098674D">
        <w:rPr>
          <w:rFonts w:ascii="Arial" w:hAnsi="Arial"/>
          <w:b/>
          <w:bCs/>
          <w:noProof w:val="0"/>
          <w:rtl/>
        </w:rPr>
        <w:t>ה</w:t>
      </w:r>
      <w:r>
        <w:rPr>
          <w:rFonts w:ascii="Arial" w:hAnsi="Arial"/>
          <w:b/>
          <w:bCs/>
          <w:noProof w:val="0"/>
          <w:rtl/>
        </w:rPr>
        <w:t>חוק</w:t>
      </w:r>
      <w:r>
        <w:rPr>
          <w:rFonts w:ascii="Arial" w:hAnsi="Arial"/>
          <w:noProof w:val="0"/>
          <w:rtl/>
        </w:rPr>
        <w:t xml:space="preserve">. </w:t>
      </w:r>
    </w:p>
    <w:p w:rsidR="001C503A" w:rsidRDefault="001C503A" w:rsidP="001C503A">
      <w:pPr>
        <w:spacing w:line="360" w:lineRule="auto"/>
        <w:ind w:left="368"/>
        <w:jc w:val="both"/>
        <w:rPr>
          <w:rFonts w:ascii="Arial" w:hAnsi="Arial"/>
          <w:noProof w:val="0"/>
        </w:rPr>
      </w:pPr>
      <w:r>
        <w:rPr>
          <w:rFonts w:ascii="Arial" w:hAnsi="Arial"/>
          <w:noProof w:val="0"/>
          <w:rtl/>
        </w:rPr>
        <w:t>ביחס לביטויים הכלולים בקבוצה הראשונה, קבע בית המשפט שגם אם חלקם, או רובם, הם "</w:t>
      </w:r>
      <w:r>
        <w:rPr>
          <w:rFonts w:ascii="Arial" w:hAnsi="Arial"/>
          <w:b/>
          <w:bCs/>
          <w:noProof w:val="0"/>
          <w:rtl/>
        </w:rPr>
        <w:t>סרי חן וחסרי טעם</w:t>
      </w:r>
      <w:r>
        <w:rPr>
          <w:rFonts w:ascii="Arial" w:hAnsi="Arial"/>
          <w:noProof w:val="0"/>
          <w:rtl/>
        </w:rPr>
        <w:t>", "</w:t>
      </w:r>
      <w:r>
        <w:rPr>
          <w:rFonts w:ascii="Arial" w:hAnsi="Arial"/>
          <w:b/>
          <w:bCs/>
          <w:noProof w:val="0"/>
          <w:rtl/>
        </w:rPr>
        <w:t>מעליבים ופוגעניים</w:t>
      </w:r>
      <w:r>
        <w:rPr>
          <w:rFonts w:ascii="Arial" w:hAnsi="Arial"/>
          <w:noProof w:val="0"/>
          <w:rtl/>
        </w:rPr>
        <w:t>", הם אינם עוברים את "</w:t>
      </w:r>
      <w:r>
        <w:rPr>
          <w:rFonts w:ascii="Arial" w:hAnsi="Arial"/>
          <w:b/>
          <w:bCs/>
          <w:noProof w:val="0"/>
          <w:rtl/>
        </w:rPr>
        <w:t>הרף הנדרש לצורך הכרה בפרסום כלשון הרע</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ביחס לקבוצה השנייה נקבע שהביטויים הכלולים בהם עולים לכדי פרסומים אסורים לפי </w:t>
      </w:r>
      <w:r>
        <w:rPr>
          <w:rFonts w:ascii="Arial" w:hAnsi="Arial"/>
          <w:b/>
          <w:bCs/>
          <w:noProof w:val="0"/>
          <w:rtl/>
        </w:rPr>
        <w:t>החוק</w:t>
      </w:r>
      <w:r>
        <w:rPr>
          <w:rFonts w:ascii="Arial" w:hAnsi="Arial"/>
          <w:noProof w:val="0"/>
          <w:rtl/>
        </w:rPr>
        <w:t xml:space="preserve">, אם בהתחשב בפגיעה האפשרית בעיסוקו העיתונאי של גרינצייג, אם משום שהם מייחסים לו מאפיינים גזעניים, אם משום שהם מייחסים לו אמירות שקר ואם משום שהם מייחסים לו שותפות בביצוע עבירות פליליות.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גם את הקבוצה השנייה חילק בית המשפט קמא לשתי קבוצות משנה (יצוין, כי השימוש במונחים "קבוצות" ו"קבוצות משנה" לא נעשה בפסק הדין אלא על ידִי, למען הנוחות): ביחס לקבוצת המשנה הראשונה נקבע, כי עומדת לציפורי הגנה של "הבעת דעה", כלומר הגנת תום הלב לפי סעיף 15(4) ל</w:t>
      </w:r>
      <w:r>
        <w:rPr>
          <w:rFonts w:ascii="Arial" w:hAnsi="Arial"/>
          <w:b/>
          <w:bCs/>
          <w:noProof w:val="0"/>
          <w:rtl/>
        </w:rPr>
        <w:t>חוק</w:t>
      </w:r>
      <w:r>
        <w:rPr>
          <w:rFonts w:ascii="Arial" w:hAnsi="Arial"/>
          <w:noProof w:val="0"/>
          <w:rtl/>
        </w:rPr>
        <w:t>, "</w:t>
      </w:r>
      <w:r>
        <w:rPr>
          <w:rFonts w:ascii="Arial" w:hAnsi="Arial"/>
          <w:b/>
          <w:bCs/>
          <w:noProof w:val="0"/>
          <w:rtl/>
        </w:rPr>
        <w:t>בשים לב לנקודת האיזון בין חופש הביטוי לבין האיסור מפני לשון הרע כאשר מדובר בדמויות ציבוריות</w:t>
      </w:r>
      <w:r>
        <w:rPr>
          <w:rFonts w:ascii="Arial" w:hAnsi="Arial"/>
          <w:noProof w:val="0"/>
          <w:rtl/>
        </w:rPr>
        <w:t>". ביחס לקבוצת המשנה השנייה נקבע, כי לא עומדת לו הגנה זו משום שלא ניתן להבינם כהבעת דעה אלא כ"</w:t>
      </w:r>
      <w:r>
        <w:rPr>
          <w:rFonts w:ascii="Arial" w:hAnsi="Arial"/>
          <w:b/>
          <w:bCs/>
          <w:noProof w:val="0"/>
          <w:rtl/>
        </w:rPr>
        <w:t>קביעת עובדה</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 xml:space="preserve">מכאן, נפנה בית המשפט לקבוע את שיעור הפיצוי שיש לפסוק לגרינצייג בגין קבוצת המשנה השנייה, כלומר: הפרסומים שלגביהם נקבע כי הם פרסומים אסורים לפי </w:t>
      </w:r>
      <w:r>
        <w:rPr>
          <w:rFonts w:ascii="Arial" w:hAnsi="Arial"/>
          <w:b/>
          <w:bCs/>
          <w:noProof w:val="0"/>
          <w:rtl/>
        </w:rPr>
        <w:t xml:space="preserve">החוק </w:t>
      </w:r>
      <w:r>
        <w:rPr>
          <w:rFonts w:ascii="Arial" w:hAnsi="Arial"/>
          <w:noProof w:val="0"/>
          <w:rtl/>
        </w:rPr>
        <w:t>ולא עומדת לציפורי בגינם הגנת סעיף 15(4) ל</w:t>
      </w:r>
      <w:r>
        <w:rPr>
          <w:rFonts w:ascii="Arial" w:hAnsi="Arial"/>
          <w:b/>
          <w:bCs/>
          <w:noProof w:val="0"/>
          <w:rtl/>
        </w:rPr>
        <w:t>חוק</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בשים לב לתוכן הפרסומים נקבע, כי ניתן לחלקם לשלוש קבוצות, לצורך קביעת הפיצוי: הפרסומים המייחסים לו תכונות של גזען, הפרסומים המייחסים לו דברי שקר והפרסום בדבר שותפות לביצוע עבירות פליליות. </w:t>
      </w:r>
    </w:p>
    <w:p w:rsidR="001C503A" w:rsidRDefault="001C503A" w:rsidP="001C503A">
      <w:pPr>
        <w:pStyle w:val="ad"/>
        <w:spacing w:line="360" w:lineRule="auto"/>
        <w:ind w:left="368"/>
        <w:jc w:val="both"/>
        <w:rPr>
          <w:rFonts w:ascii="Arial" w:hAnsi="Arial"/>
          <w:noProof w:val="0"/>
        </w:rPr>
      </w:pPr>
      <w:r>
        <w:rPr>
          <w:rFonts w:ascii="Arial" w:hAnsi="Arial"/>
          <w:noProof w:val="0"/>
          <w:rtl/>
        </w:rPr>
        <w:lastRenderedPageBreak/>
        <w:t xml:space="preserve">לא נמצאה הצדקה לבצע פיצול והכרה ביחס לכל אחד מהפרסומים באותן קבוצות, משום שתוכנם דומה וכן לא נמצאה הצדקה לבצע פיצול בשל מועדי הפרסומים, משום שכולם התפרסו על פני תקופת זמן קצרה, על פני מספר ימים לאורך תקופה של כחודש וחצי. </w:t>
      </w:r>
    </w:p>
    <w:p w:rsidR="001C503A" w:rsidRDefault="001C503A" w:rsidP="001C503A">
      <w:pPr>
        <w:pStyle w:val="ad"/>
        <w:spacing w:line="360" w:lineRule="auto"/>
        <w:ind w:left="368"/>
        <w:jc w:val="both"/>
        <w:rPr>
          <w:rFonts w:ascii="Arial" w:hAnsi="Arial"/>
          <w:noProof w:val="0"/>
          <w:rtl/>
        </w:rPr>
      </w:pPr>
      <w:r>
        <w:rPr>
          <w:rFonts w:ascii="Arial" w:hAnsi="Arial"/>
          <w:noProof w:val="0"/>
          <w:rtl/>
        </w:rPr>
        <w:t xml:space="preserve">כן נקבע שלא הוכחה תשתית לשונוּת בין זהות הנמענים של אותם פרסומים. </w:t>
      </w:r>
    </w:p>
    <w:p w:rsidR="001C503A" w:rsidRDefault="001C503A" w:rsidP="001C503A">
      <w:pPr>
        <w:pStyle w:val="ad"/>
        <w:spacing w:line="360" w:lineRule="auto"/>
        <w:ind w:left="368"/>
        <w:jc w:val="both"/>
        <w:rPr>
          <w:rFonts w:ascii="Arial" w:hAnsi="Arial"/>
          <w:noProof w:val="0"/>
          <w:rtl/>
        </w:rPr>
      </w:pPr>
      <w:r>
        <w:rPr>
          <w:rFonts w:ascii="Arial" w:hAnsi="Arial"/>
          <w:noProof w:val="0"/>
          <w:rtl/>
        </w:rPr>
        <w:t>כן נקבע שלא הוכחה כוונה לפגוע באופן המביא לפסיקת כפל פיצוי, לפי סעיף 7א(ג) ל</w:t>
      </w:r>
      <w:r>
        <w:rPr>
          <w:rFonts w:ascii="Arial" w:hAnsi="Arial"/>
          <w:b/>
          <w:bCs/>
          <w:noProof w:val="0"/>
          <w:rtl/>
        </w:rPr>
        <w:t>חוק</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tl/>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בהתאם לאמור נקבע כי הפיצוי עבור הקבוצה הראשונה (הפרסומים המייחסים לגרינצייג תכונה של גזען) יעמוד על סך 60,000 ₪, עבור הקבוצה השנייה (הפרסומים המייחסים לו אמירת דברי שקר) – 50,000 </w:t>
      </w:r>
      <w:r w:rsidR="0098674D">
        <w:rPr>
          <w:rFonts w:ascii="Arial" w:hAnsi="Arial"/>
          <w:noProof w:val="0"/>
          <w:rtl/>
        </w:rPr>
        <w:t>₪, עבור הקבוצה השלישית (הפרסו</w:t>
      </w:r>
      <w:r w:rsidR="0098674D">
        <w:rPr>
          <w:rFonts w:ascii="Arial" w:hAnsi="Arial" w:hint="cs"/>
          <w:noProof w:val="0"/>
          <w:rtl/>
        </w:rPr>
        <w:t>ם</w:t>
      </w:r>
      <w:r w:rsidR="0098674D">
        <w:rPr>
          <w:rFonts w:ascii="Arial" w:hAnsi="Arial"/>
          <w:noProof w:val="0"/>
          <w:rtl/>
        </w:rPr>
        <w:t xml:space="preserve"> המייחס</w:t>
      </w:r>
      <w:r>
        <w:rPr>
          <w:rFonts w:ascii="Arial" w:hAnsi="Arial"/>
          <w:noProof w:val="0"/>
          <w:rtl/>
        </w:rPr>
        <w:t xml:space="preserve"> לו מעורבות בעבירות פליליות) – 25,000 ₪</w:t>
      </w:r>
      <w:r w:rsidR="0098674D">
        <w:rPr>
          <w:rFonts w:ascii="Arial" w:hAnsi="Arial" w:hint="cs"/>
          <w:noProof w:val="0"/>
          <w:rtl/>
        </w:rPr>
        <w:t xml:space="preserve">, </w:t>
      </w:r>
      <w:r>
        <w:rPr>
          <w:rFonts w:ascii="Arial" w:hAnsi="Arial"/>
          <w:noProof w:val="0"/>
          <w:rtl/>
        </w:rPr>
        <w:t xml:space="preserve"> ובסה"כ – 135,000 ₪.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 xml:space="preserve">יצוין, כי גרינצייג כלל בתביעתו גם תביעה לפגיעה בפרטיות לפי </w:t>
      </w:r>
      <w:r>
        <w:rPr>
          <w:rFonts w:ascii="Arial" w:hAnsi="Arial"/>
          <w:b/>
          <w:bCs/>
          <w:noProof w:val="0"/>
          <w:rtl/>
        </w:rPr>
        <w:t>חוק הגנת הפרטיות, התשמ"א-1981</w:t>
      </w:r>
      <w:r>
        <w:rPr>
          <w:rFonts w:ascii="Arial" w:hAnsi="Arial"/>
          <w:noProof w:val="0"/>
          <w:rtl/>
        </w:rPr>
        <w:t xml:space="preserve">, בגין פרסום תמונתו ברשתות החברתיות על-ידי ציפורי, שנעשה לטענתו באופן משפיל ומבזה. </w:t>
      </w:r>
    </w:p>
    <w:p w:rsidR="001C503A" w:rsidRDefault="001C503A" w:rsidP="001C503A">
      <w:pPr>
        <w:pStyle w:val="ad"/>
        <w:spacing w:line="360" w:lineRule="auto"/>
        <w:ind w:left="368"/>
        <w:jc w:val="both"/>
        <w:rPr>
          <w:rFonts w:ascii="Arial" w:hAnsi="Arial"/>
          <w:noProof w:val="0"/>
        </w:rPr>
      </w:pPr>
      <w:r>
        <w:rPr>
          <w:rFonts w:ascii="Arial" w:hAnsi="Arial"/>
          <w:noProof w:val="0"/>
          <w:rtl/>
        </w:rPr>
        <w:t>התביעה בגין</w:t>
      </w:r>
      <w:r w:rsidR="0098674D">
        <w:rPr>
          <w:rFonts w:ascii="Arial" w:hAnsi="Arial"/>
          <w:noProof w:val="0"/>
          <w:rtl/>
        </w:rPr>
        <w:t xml:space="preserve"> עילה זו נדחתה על-ידי בית המשפט</w:t>
      </w:r>
      <w:r w:rsidR="0098674D">
        <w:rPr>
          <w:rFonts w:ascii="Arial" w:hAnsi="Arial" w:hint="cs"/>
          <w:noProof w:val="0"/>
          <w:rtl/>
        </w:rPr>
        <w:t>,</w:t>
      </w:r>
      <w:r>
        <w:rPr>
          <w:rFonts w:ascii="Arial" w:hAnsi="Arial"/>
          <w:noProof w:val="0"/>
          <w:rtl/>
        </w:rPr>
        <w:t xml:space="preserve"> וגרינצייג לא ערער על כך.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ביחס לתביעת ציפורי נקבע, כי הביטויים הכלולים בפרסומים שנעשו על-ידי גרינצייג ("</w:t>
      </w:r>
      <w:r>
        <w:rPr>
          <w:rFonts w:ascii="Arial" w:hAnsi="Arial"/>
          <w:b/>
          <w:bCs/>
          <w:noProof w:val="0"/>
          <w:rtl/>
        </w:rPr>
        <w:t>הזייה</w:t>
      </w:r>
      <w:r>
        <w:rPr>
          <w:rFonts w:ascii="Arial" w:hAnsi="Arial"/>
          <w:noProof w:val="0"/>
          <w:rtl/>
        </w:rPr>
        <w:t>", "</w:t>
      </w:r>
      <w:r>
        <w:rPr>
          <w:rFonts w:ascii="Arial" w:hAnsi="Arial"/>
          <w:b/>
          <w:bCs/>
          <w:noProof w:val="0"/>
          <w:rtl/>
        </w:rPr>
        <w:t>טירלול</w:t>
      </w:r>
      <w:r>
        <w:rPr>
          <w:rFonts w:ascii="Arial" w:hAnsi="Arial"/>
          <w:noProof w:val="0"/>
          <w:rtl/>
        </w:rPr>
        <w:t>", "</w:t>
      </w:r>
      <w:r>
        <w:rPr>
          <w:rFonts w:ascii="Arial" w:hAnsi="Arial"/>
          <w:b/>
          <w:bCs/>
          <w:noProof w:val="0"/>
          <w:rtl/>
        </w:rPr>
        <w:t>אתה צריך עזרה</w:t>
      </w:r>
      <w:r>
        <w:rPr>
          <w:rFonts w:ascii="Arial" w:hAnsi="Arial"/>
          <w:noProof w:val="0"/>
          <w:rtl/>
        </w:rPr>
        <w:t xml:space="preserve">" ועוד), בשים לב להקשר הדברים והנפשות הפועלות, אינם חוצים את הרף של פרסומים אסורים לפי </w:t>
      </w:r>
      <w:r>
        <w:rPr>
          <w:rFonts w:ascii="Arial" w:hAnsi="Arial"/>
          <w:b/>
          <w:bCs/>
          <w:noProof w:val="0"/>
          <w:rtl/>
        </w:rPr>
        <w:t>החוק</w:t>
      </w:r>
      <w:r>
        <w:rPr>
          <w:rFonts w:ascii="Arial" w:hAnsi="Arial"/>
          <w:noProof w:val="0"/>
          <w:rtl/>
        </w:rPr>
        <w:t>.  "</w:t>
      </w:r>
      <w:r>
        <w:rPr>
          <w:rFonts w:ascii="Arial" w:hAnsi="Arial"/>
          <w:b/>
          <w:bCs/>
          <w:noProof w:val="0"/>
          <w:rtl/>
        </w:rPr>
        <w:t>הקורא הסביר שקורא את ההתבטאויות בהקשר זה, לא יכול שלא להבין את הדברים אלא כדברים המתייחסים להתנהלות ואופן התנסחות ציפורי, ולאופן שבו גרינצייג רואה את התנהלות ציפורי</w:t>
      </w:r>
      <w:r>
        <w:rPr>
          <w:rFonts w:ascii="Arial" w:hAnsi="Arial"/>
          <w:noProof w:val="0"/>
          <w:rtl/>
        </w:rPr>
        <w:t>",</w:t>
      </w:r>
      <w:r w:rsidR="0098674D">
        <w:rPr>
          <w:rFonts w:ascii="Arial" w:hAnsi="Arial" w:hint="cs"/>
          <w:noProof w:val="0"/>
          <w:rtl/>
        </w:rPr>
        <w:t xml:space="preserve"> </w:t>
      </w:r>
      <w:r>
        <w:rPr>
          <w:rFonts w:ascii="Arial" w:hAnsi="Arial"/>
          <w:noProof w:val="0"/>
          <w:rtl/>
        </w:rPr>
        <w:t xml:space="preserve">נכתב. </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בית המשפט הוסיף, כי מקובלת עליו עמדת גרינצייג, כי הוא לא ייחס לציפורי בפרסומים אלה מחלת נפש כלשהי. </w:t>
      </w:r>
    </w:p>
    <w:p w:rsidR="001C503A" w:rsidRDefault="001C503A" w:rsidP="001C503A">
      <w:pPr>
        <w:pStyle w:val="ad"/>
        <w:spacing w:line="360" w:lineRule="auto"/>
        <w:ind w:left="368"/>
        <w:jc w:val="both"/>
        <w:rPr>
          <w:rFonts w:ascii="Arial" w:hAnsi="Arial"/>
          <w:noProof w:val="0"/>
        </w:rPr>
      </w:pPr>
      <w:r>
        <w:rPr>
          <w:rFonts w:ascii="Arial" w:hAnsi="Arial"/>
          <w:noProof w:val="0"/>
          <w:rtl/>
        </w:rPr>
        <w:t>יצוין שגם בדיון שנערך בערעור, אישר ב"כ ציפורי (עמ' 6 שורה 6), כי "</w:t>
      </w:r>
      <w:r>
        <w:rPr>
          <w:rFonts w:ascii="Arial" w:hAnsi="Arial"/>
          <w:b/>
          <w:bCs/>
          <w:noProof w:val="0"/>
          <w:rtl/>
        </w:rPr>
        <w:t>המילה חולה נפש לא כתובה</w:t>
      </w:r>
      <w:r>
        <w:rPr>
          <w:rFonts w:ascii="Arial" w:hAnsi="Arial"/>
          <w:noProof w:val="0"/>
          <w:rtl/>
        </w:rPr>
        <w:t xml:space="preserve">", אך הוסיף שכך ניתן להבין ממשמעות הביטויים. </w:t>
      </w:r>
    </w:p>
    <w:p w:rsidR="001C503A" w:rsidRDefault="001C503A" w:rsidP="001C503A">
      <w:pPr>
        <w:pStyle w:val="ad"/>
        <w:spacing w:line="360" w:lineRule="auto"/>
        <w:ind w:left="368"/>
        <w:jc w:val="both"/>
        <w:rPr>
          <w:rFonts w:ascii="Arial" w:hAnsi="Arial"/>
          <w:noProof w:val="0"/>
          <w:rtl/>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סיכומו של דבר, בית המשפט חייב את ציפורי לשלם לגרינצייג סך של 135,000 ₪ (בצירוף הפרשי הצמדה וריבית כחוק מיום הגשת התביעה) וכן חייב אותו בתשלום הוצאות בסך 35,000 ₪ ומחצית סכום האגרה. </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בפסיקת ההוצאות הובאו בחשבון העובדה שתביעת גרינצייג התקבלה בחלקה, תוך מתן דעת לפער שבין הסכום שנתבע לבין הסכום שנפסק, העובדה שתביעת ציפורי נדחתה והמשאבים שהוקדשו לבירור התביעה. </w:t>
      </w:r>
    </w:p>
    <w:p w:rsidR="001C503A" w:rsidRDefault="001C503A" w:rsidP="001C503A">
      <w:pPr>
        <w:spacing w:line="360" w:lineRule="auto"/>
        <w:jc w:val="both"/>
        <w:rPr>
          <w:rFonts w:ascii="Arial" w:hAnsi="Arial"/>
          <w:noProof w:val="0"/>
        </w:rPr>
      </w:pPr>
    </w:p>
    <w:p w:rsidR="001C503A" w:rsidRDefault="001C503A" w:rsidP="001C503A">
      <w:pPr>
        <w:spacing w:line="360" w:lineRule="auto"/>
        <w:jc w:val="both"/>
        <w:rPr>
          <w:rFonts w:ascii="Arial" w:hAnsi="Arial"/>
          <w:b/>
          <w:bCs/>
          <w:noProof w:val="0"/>
          <w:rtl/>
        </w:rPr>
      </w:pPr>
      <w:r>
        <w:rPr>
          <w:rFonts w:ascii="Arial" w:hAnsi="Arial"/>
          <w:b/>
          <w:bCs/>
          <w:noProof w:val="0"/>
          <w:rtl/>
        </w:rPr>
        <w:t>הערעורים ותמצית הטענות</w:t>
      </w: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שני הצדדים לא שבעו נחת מפסק הדין והגישו שני ערעורים נפרדים שהדיון בהם אוחד.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 xml:space="preserve">גרינצייג טען, בין היתר, כי שגה בית המשפט שקבע כי חלק מהביטויים הכלולים בפרסומים של ציפורי אינם עוברים את הרף הנדרש לצורך הכרה בהם כלשון הרע, כי הוא שגה בקבעו כי ביטויים מסוימים הם בבחינת הבעת דעה סובייקטיבית, כי הוא שגה כשקבע כי יש לראות את הפרסומים ביחס לכל קבוצת התבטאויות כפרסום אחד המצדיק פיצוי אחד וכן כי הוא שגה בקביעת סכום הפיצוי ובהתאם לכך גם בקביעת סכום ההוצאות שנפסקו. </w:t>
      </w:r>
    </w:p>
    <w:p w:rsidR="001C503A" w:rsidRDefault="0098674D" w:rsidP="001C503A">
      <w:pPr>
        <w:pStyle w:val="ad"/>
        <w:spacing w:line="360" w:lineRule="auto"/>
        <w:ind w:left="368"/>
        <w:jc w:val="both"/>
        <w:rPr>
          <w:rFonts w:ascii="Arial" w:hAnsi="Arial"/>
          <w:noProof w:val="0"/>
        </w:rPr>
      </w:pPr>
      <w:r>
        <w:rPr>
          <w:rFonts w:ascii="Arial" w:hAnsi="Arial"/>
          <w:noProof w:val="0"/>
          <w:rtl/>
        </w:rPr>
        <w:t>ביחס לערעור ציפורי</w:t>
      </w:r>
      <w:r w:rsidR="001C503A">
        <w:rPr>
          <w:rFonts w:ascii="Arial" w:hAnsi="Arial"/>
          <w:noProof w:val="0"/>
          <w:rtl/>
        </w:rPr>
        <w:t xml:space="preserve"> טען גרינצייג </w:t>
      </w:r>
      <w:r>
        <w:rPr>
          <w:rFonts w:ascii="Arial" w:hAnsi="Arial" w:hint="cs"/>
          <w:noProof w:val="0"/>
          <w:rtl/>
        </w:rPr>
        <w:t>,</w:t>
      </w:r>
      <w:r w:rsidR="001C503A">
        <w:rPr>
          <w:rFonts w:ascii="Arial" w:hAnsi="Arial"/>
          <w:noProof w:val="0"/>
          <w:rtl/>
        </w:rPr>
        <w:t xml:space="preserve">כי בית המשפט צדק במסקנתו. </w:t>
      </w:r>
    </w:p>
    <w:p w:rsidR="001C503A" w:rsidRDefault="001C503A" w:rsidP="001C503A">
      <w:pPr>
        <w:spacing w:line="360" w:lineRule="auto"/>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ציפורי טען כי היה על בית המשפט לדחות את תביעת גרינצייג במלואה, משום שהביטויים הכלולים בפרסומיו היו הבעת דעה לגיטימית והוכחו כאמת, ולעומת זאת הביטויים הכלולים בפרסומיו של גרינצייג כלפיו, ניתן היה להבינם כאילו הם מייחסים לו מחלת נפש.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 xml:space="preserve">בסופו של הדיון שנערך בפנינו הצענו לצדדים להסכים לדחיית שני הערעורים. גרינצייג הסכים לכך, ציפורי ביקש לתת תשובתו תוך מספר ימים. </w:t>
      </w:r>
    </w:p>
    <w:p w:rsidR="001C503A" w:rsidRDefault="001C503A" w:rsidP="001C503A">
      <w:pPr>
        <w:spacing w:line="360" w:lineRule="auto"/>
        <w:ind w:left="368"/>
        <w:jc w:val="both"/>
        <w:rPr>
          <w:rFonts w:ascii="Arial" w:hAnsi="Arial"/>
          <w:noProof w:val="0"/>
        </w:rPr>
      </w:pPr>
      <w:r>
        <w:rPr>
          <w:rFonts w:ascii="Arial" w:hAnsi="Arial"/>
          <w:noProof w:val="0"/>
          <w:rtl/>
        </w:rPr>
        <w:t xml:space="preserve">ציפורי ביקש בהודעתו שניתנה לאחר מספר ימים להתנות את הסכמתו להצעת בית המשפט בתנאים שונים. גרינצייג התנגד לאותם תנאים. </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מכאן הצורך במתן פסק דין. </w:t>
      </w:r>
    </w:p>
    <w:p w:rsidR="001C503A" w:rsidRDefault="001C503A" w:rsidP="001C503A">
      <w:pPr>
        <w:spacing w:line="360" w:lineRule="auto"/>
        <w:jc w:val="both"/>
        <w:rPr>
          <w:rFonts w:ascii="Arial" w:hAnsi="Arial"/>
          <w:noProof w:val="0"/>
        </w:rPr>
      </w:pPr>
    </w:p>
    <w:p w:rsidR="001C503A" w:rsidRDefault="001C503A" w:rsidP="001C503A">
      <w:pPr>
        <w:spacing w:line="360" w:lineRule="auto"/>
        <w:jc w:val="both"/>
        <w:rPr>
          <w:rFonts w:ascii="Arial" w:hAnsi="Arial"/>
          <w:b/>
          <w:bCs/>
          <w:noProof w:val="0"/>
          <w:rtl/>
        </w:rPr>
      </w:pPr>
      <w:r>
        <w:rPr>
          <w:rFonts w:ascii="Arial" w:hAnsi="Arial"/>
          <w:b/>
          <w:bCs/>
          <w:noProof w:val="0"/>
          <w:rtl/>
        </w:rPr>
        <w:t xml:space="preserve">דיון והכרעה </w:t>
      </w: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שני הצדדים ביקשו, למעשה, בערעוריהם, כי ערכאת הערעור תבחן מחדש את משמעותם של עשרות הביטויים שנכללו בפרסומים השונים על רקע העדויות והראיות שהובאו לפני בית המשפט קמא. </w:t>
      </w:r>
    </w:p>
    <w:p w:rsidR="001C503A" w:rsidRDefault="001C503A" w:rsidP="001C503A">
      <w:pPr>
        <w:pStyle w:val="ad"/>
        <w:spacing w:line="360" w:lineRule="auto"/>
        <w:ind w:left="368"/>
        <w:jc w:val="both"/>
        <w:rPr>
          <w:rFonts w:ascii="Arial" w:hAnsi="Arial"/>
          <w:noProof w:val="0"/>
        </w:rPr>
      </w:pPr>
      <w:r>
        <w:rPr>
          <w:rFonts w:ascii="Arial" w:hAnsi="Arial"/>
          <w:noProof w:val="0"/>
          <w:rtl/>
        </w:rPr>
        <w:t>כידוע, "</w:t>
      </w:r>
      <w:r>
        <w:rPr>
          <w:rFonts w:ascii="Arial" w:hAnsi="Arial"/>
          <w:b/>
          <w:bCs/>
          <w:noProof w:val="0"/>
          <w:rtl/>
        </w:rPr>
        <w:t>תפקידה של ערכאת הערעור אינו 'שמיעה מחדש' (</w:t>
      </w:r>
      <w:r>
        <w:rPr>
          <w:rFonts w:ascii="Arial" w:hAnsi="Arial"/>
          <w:b/>
          <w:bCs/>
          <w:noProof w:val="0"/>
        </w:rPr>
        <w:t>rehearing</w:t>
      </w:r>
      <w:r>
        <w:rPr>
          <w:rFonts w:ascii="Arial" w:hAnsi="Arial"/>
          <w:b/>
          <w:bCs/>
          <w:noProof w:val="0"/>
          <w:rtl/>
        </w:rPr>
        <w:t>) של המשפט אלא בחינה האם הממצאים שנקבעו בפסק דינה של הערכאה הדיונית מעוגנים בחומר ראיות אמין, האם המסקנות שהוסקו עומדות במבחן ההוכחות, ההיגיון ומכלול הנסיבות, והאם התוצאה מתחייבת מבחינת הוראות הדין החלות על העניין...</w:t>
      </w:r>
      <w:r>
        <w:rPr>
          <w:rFonts w:ascii="Arial" w:hAnsi="Arial"/>
          <w:noProof w:val="0"/>
          <w:rtl/>
        </w:rPr>
        <w:t xml:space="preserve">" (ע"א 1242/04 </w:t>
      </w:r>
      <w:r>
        <w:rPr>
          <w:rFonts w:ascii="Arial" w:hAnsi="Arial"/>
          <w:b/>
          <w:bCs/>
          <w:noProof w:val="0"/>
          <w:rtl/>
        </w:rPr>
        <w:t>ש. גמליאל חברה לבניין ופיתוח בע"מ נ' ש. ארצי חברה להשקעות בע"מ</w:t>
      </w:r>
      <w:r>
        <w:rPr>
          <w:rFonts w:ascii="Arial" w:hAnsi="Arial"/>
          <w:noProof w:val="0"/>
          <w:rtl/>
        </w:rPr>
        <w:t xml:space="preserve"> (11.9.2006), פסקה 24).</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lastRenderedPageBreak/>
        <w:t xml:space="preserve">הארכתי לעיל בפירוט נימוקיו וממצאיו של בית המשפט קמא, והרבה יותר ממה שפירטתי מצוי בפסק הדין. </w:t>
      </w:r>
    </w:p>
    <w:p w:rsidR="001C503A" w:rsidRDefault="001C503A" w:rsidP="001C503A">
      <w:pPr>
        <w:pStyle w:val="ad"/>
        <w:spacing w:line="360" w:lineRule="auto"/>
        <w:ind w:left="368"/>
        <w:jc w:val="both"/>
        <w:rPr>
          <w:rFonts w:ascii="Arial" w:hAnsi="Arial"/>
          <w:noProof w:val="0"/>
        </w:rPr>
      </w:pPr>
      <w:r>
        <w:rPr>
          <w:rFonts w:ascii="Arial" w:hAnsi="Arial"/>
          <w:noProof w:val="0"/>
          <w:rtl/>
        </w:rPr>
        <w:t>בית המשפט קמא בחן באופן יסודי ומעמיק את הביטויים השונים, על רקע עבודתם העיתונאית של שני הצדדים, ותוך התייחסות לפסיקה הרלוונטית. אני סבור כי לא נפלה כל שגגה מהותית בקביעותיו ובמסקנותיו של בית המשפט קמא וכי ניתן לאשר את פסק הדין מאותם נימוקים, בהתאם לתקנה 146(א)(2) ל</w:t>
      </w:r>
      <w:r>
        <w:rPr>
          <w:rFonts w:ascii="Arial" w:hAnsi="Arial"/>
          <w:b/>
          <w:bCs/>
          <w:noProof w:val="0"/>
          <w:rtl/>
        </w:rPr>
        <w:t>תקנות סדר הדין האזרחי, התשע"ט-2018</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t xml:space="preserve">ביחס לערעור גרינצייג אוסיף כי גם אם ניתן היה לסבור כי מקומו של אחד הביטויים, שנקבע לגביו כי הוא אינו פרסום אסור לפי </w:t>
      </w:r>
      <w:r>
        <w:rPr>
          <w:rFonts w:ascii="Arial" w:hAnsi="Arial"/>
          <w:b/>
          <w:bCs/>
          <w:noProof w:val="0"/>
          <w:rtl/>
        </w:rPr>
        <w:t>החוק</w:t>
      </w:r>
      <w:r>
        <w:rPr>
          <w:rFonts w:ascii="Arial" w:hAnsi="Arial"/>
          <w:noProof w:val="0"/>
          <w:rtl/>
        </w:rPr>
        <w:t xml:space="preserve"> הוא אכן פרסום אסור, אזי היה ניתן לסבור באותה מידה כי מקומו של ביטוי אחר, שנקבע לגביו כי הוא פרסום אסור לפי </w:t>
      </w:r>
      <w:r>
        <w:rPr>
          <w:rFonts w:ascii="Arial" w:hAnsi="Arial"/>
          <w:b/>
          <w:bCs/>
          <w:noProof w:val="0"/>
          <w:rtl/>
        </w:rPr>
        <w:t xml:space="preserve">החוק </w:t>
      </w:r>
      <w:r>
        <w:rPr>
          <w:rFonts w:ascii="Arial" w:hAnsi="Arial"/>
          <w:noProof w:val="0"/>
          <w:rtl/>
        </w:rPr>
        <w:t xml:space="preserve">אינו כזה; הוא הדין ביחס לביטוי שנקבע לגביו כי הוא מוגן לפי סעיף 15(4) </w:t>
      </w:r>
      <w:r>
        <w:rPr>
          <w:rFonts w:ascii="Arial" w:hAnsi="Arial"/>
          <w:b/>
          <w:bCs/>
          <w:noProof w:val="0"/>
          <w:rtl/>
        </w:rPr>
        <w:t>לחוק</w:t>
      </w:r>
      <w:r>
        <w:rPr>
          <w:rFonts w:ascii="Arial" w:hAnsi="Arial"/>
          <w:noProof w:val="0"/>
          <w:rtl/>
        </w:rPr>
        <w:t xml:space="preserve"> בהיותו בגדר "</w:t>
      </w:r>
      <w:r>
        <w:rPr>
          <w:rFonts w:ascii="Arial" w:hAnsi="Arial"/>
          <w:b/>
          <w:bCs/>
          <w:noProof w:val="0"/>
          <w:rtl/>
        </w:rPr>
        <w:t>הבעת דעה</w:t>
      </w:r>
      <w:r>
        <w:rPr>
          <w:rFonts w:ascii="Arial" w:hAnsi="Arial"/>
          <w:noProof w:val="0"/>
          <w:rtl/>
        </w:rPr>
        <w:t xml:space="preserve">"  לעומת ביטוי שנקבע לגביו כי הוא אינו חוסה תחת הגנה זו. </w:t>
      </w:r>
    </w:p>
    <w:p w:rsidR="001C503A" w:rsidRDefault="001C503A" w:rsidP="001C503A">
      <w:pPr>
        <w:pStyle w:val="ad"/>
        <w:spacing w:line="360" w:lineRule="auto"/>
        <w:ind w:left="368"/>
        <w:jc w:val="both"/>
        <w:rPr>
          <w:rFonts w:ascii="Arial" w:hAnsi="Arial"/>
          <w:noProof w:val="0"/>
        </w:rPr>
      </w:pPr>
      <w:r>
        <w:rPr>
          <w:rFonts w:ascii="Arial" w:hAnsi="Arial"/>
          <w:noProof w:val="0"/>
          <w:rtl/>
        </w:rPr>
        <w:t>שכן, אין בנמצא קטלוג סדור הכולל רשימת ביטויים המהווים לשון הרע ורשימת ביטויים שאים לשון הרע ולא נמצא קטלוג המגדיר מה נחשב כהבעת דעה ומה נחשב כציון עובדה, והכל תלוי בהערכת בית המשפט</w:t>
      </w:r>
      <w:r w:rsidR="0098674D">
        <w:rPr>
          <w:rFonts w:ascii="Arial" w:hAnsi="Arial" w:hint="cs"/>
          <w:noProof w:val="0"/>
          <w:rtl/>
        </w:rPr>
        <w:t>,</w:t>
      </w:r>
      <w:r>
        <w:rPr>
          <w:rFonts w:ascii="Arial" w:hAnsi="Arial"/>
          <w:noProof w:val="0"/>
          <w:rtl/>
        </w:rPr>
        <w:t xml:space="preserve"> בהתחשב בהקשר הדברים ובנפשות הפועלות, כפי שהיטיב לתאר בית המשפט קמא.</w:t>
      </w:r>
    </w:p>
    <w:p w:rsidR="001C503A" w:rsidRDefault="001C503A" w:rsidP="001C503A">
      <w:pPr>
        <w:pStyle w:val="ad"/>
        <w:spacing w:line="360" w:lineRule="auto"/>
        <w:ind w:left="368"/>
        <w:jc w:val="both"/>
        <w:rPr>
          <w:rFonts w:ascii="Arial" w:hAnsi="Arial"/>
          <w:noProof w:val="0"/>
        </w:rPr>
      </w:pPr>
      <w:r>
        <w:rPr>
          <w:rFonts w:ascii="Arial" w:hAnsi="Arial"/>
          <w:noProof w:val="0"/>
          <w:rtl/>
        </w:rPr>
        <w:t xml:space="preserve"> </w:t>
      </w: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ביחס לפיצוי שנפסק ולאופן שבו הוא נפסק, אני סבור כי ערכאת הערעור מוסמכת להיעזר בכלל של "</w:t>
      </w:r>
      <w:r>
        <w:rPr>
          <w:rFonts w:ascii="Arial" w:hAnsi="Arial"/>
          <w:b/>
          <w:bCs/>
          <w:noProof w:val="0"/>
          <w:rtl/>
        </w:rPr>
        <w:t>מבט ממעוף הציפור</w:t>
      </w:r>
      <w:r>
        <w:rPr>
          <w:rFonts w:ascii="Arial" w:hAnsi="Arial"/>
          <w:noProof w:val="0"/>
          <w:rtl/>
        </w:rPr>
        <w:t xml:space="preserve">" (ראו למשל: ע"א 741/10 </w:t>
      </w:r>
      <w:r>
        <w:rPr>
          <w:rFonts w:ascii="Arial" w:hAnsi="Arial"/>
          <w:b/>
          <w:bCs/>
          <w:noProof w:val="0"/>
          <w:rtl/>
        </w:rPr>
        <w:t>כהן נ' צים</w:t>
      </w:r>
      <w:r>
        <w:rPr>
          <w:rFonts w:ascii="Arial" w:hAnsi="Arial"/>
          <w:noProof w:val="0"/>
          <w:rtl/>
        </w:rPr>
        <w:t xml:space="preserve"> (1210.2010, פסקה 8); ע"א 2322/22 "</w:t>
      </w:r>
      <w:r>
        <w:rPr>
          <w:rFonts w:ascii="Arial" w:hAnsi="Arial"/>
          <w:b/>
          <w:bCs/>
          <w:noProof w:val="0"/>
          <w:rtl/>
        </w:rPr>
        <w:t>הפול" חברה לביטוח בע"מ נ' פלוני</w:t>
      </w:r>
      <w:r>
        <w:rPr>
          <w:rFonts w:ascii="Arial" w:hAnsi="Arial"/>
          <w:noProof w:val="0"/>
          <w:rtl/>
        </w:rPr>
        <w:t xml:space="preserve"> (29.1.2023, פסקה 6)), הבוחנת את הסכום הכולל שנפסק במבט על, מבלי לבחון בפירוט כל פרט ופרט, כדי לבדוק אם קיימת חריגה בולטת מהמקובל. </w:t>
      </w:r>
    </w:p>
    <w:p w:rsidR="001C503A" w:rsidRDefault="001C503A" w:rsidP="001C503A">
      <w:pPr>
        <w:pStyle w:val="ad"/>
        <w:spacing w:line="360" w:lineRule="auto"/>
        <w:ind w:left="368"/>
        <w:jc w:val="both"/>
        <w:rPr>
          <w:rFonts w:ascii="Arial" w:hAnsi="Arial"/>
          <w:noProof w:val="0"/>
          <w:rtl/>
        </w:rPr>
      </w:pPr>
      <w:r>
        <w:rPr>
          <w:rFonts w:ascii="Arial" w:hAnsi="Arial"/>
          <w:noProof w:val="0"/>
          <w:rtl/>
        </w:rPr>
        <w:t>כלל זה נקבע, אמנם, ביחס לראשי נזק ושומת הנזק בתביעות פיצוים בגין נזקי גוף, אולם כוחו יפה, לדעתי, גם כשהמדובר בריבוי פרטי נזק (בענייננו, ריבוי הביטויים והפרסומים) בתביעות נזיקיות אחרות, והלוא</w:t>
      </w:r>
      <w:r>
        <w:rPr>
          <w:rFonts w:ascii="Arial" w:hAnsi="Arial"/>
          <w:b/>
          <w:bCs/>
          <w:noProof w:val="0"/>
          <w:rtl/>
        </w:rPr>
        <w:t xml:space="preserve"> חוק איסור לשון הרע</w:t>
      </w:r>
      <w:r>
        <w:rPr>
          <w:rFonts w:ascii="Arial" w:hAnsi="Arial"/>
          <w:noProof w:val="0"/>
          <w:rtl/>
        </w:rPr>
        <w:t xml:space="preserve">, הינו עוולה אזרחית-נזיקית, וחלות עליה הוראות מסוימות מתוך </w:t>
      </w:r>
      <w:r>
        <w:rPr>
          <w:rFonts w:ascii="Arial" w:hAnsi="Arial"/>
          <w:b/>
          <w:bCs/>
          <w:noProof w:val="0"/>
          <w:rtl/>
        </w:rPr>
        <w:t>פקודת הנזיקין [נוסח חדש]</w:t>
      </w:r>
      <w:r>
        <w:rPr>
          <w:rFonts w:ascii="Arial" w:hAnsi="Arial"/>
          <w:noProof w:val="0"/>
          <w:rtl/>
        </w:rPr>
        <w:t xml:space="preserve"> (סעיף 7 ל</w:t>
      </w:r>
      <w:r>
        <w:rPr>
          <w:rFonts w:ascii="Arial" w:hAnsi="Arial"/>
          <w:b/>
          <w:bCs/>
          <w:noProof w:val="0"/>
          <w:rtl/>
        </w:rPr>
        <w:t>חוק</w:t>
      </w:r>
      <w:r>
        <w:rPr>
          <w:rFonts w:ascii="Arial" w:hAnsi="Arial"/>
          <w:noProof w:val="0"/>
          <w:rtl/>
        </w:rPr>
        <w:t xml:space="preserve">). </w:t>
      </w:r>
    </w:p>
    <w:p w:rsidR="001C503A" w:rsidRDefault="001C503A" w:rsidP="001C503A">
      <w:pPr>
        <w:pStyle w:val="ad"/>
        <w:spacing w:line="360" w:lineRule="auto"/>
        <w:ind w:left="368"/>
        <w:jc w:val="both"/>
        <w:rPr>
          <w:rFonts w:ascii="Arial" w:hAnsi="Arial"/>
          <w:noProof w:val="0"/>
          <w:rtl/>
        </w:rPr>
      </w:pPr>
      <w:r>
        <w:rPr>
          <w:rFonts w:ascii="Arial" w:hAnsi="Arial"/>
          <w:noProof w:val="0"/>
          <w:rtl/>
        </w:rPr>
        <w:t>מ"מבט ממעוף הציפור" ניתן, לכן, לקבוע לדעתי, כי הפיצוי שנקבע בפסק הדין בנסיבות ענייננו, בהתחשב בנפשות הפועלות ובעבודתם הציבורית וביתר הנימוקים שמנה בית המשפט, אין בו חריגה מהמקובל.</w:t>
      </w:r>
    </w:p>
    <w:p w:rsidR="001C503A" w:rsidRDefault="001C503A" w:rsidP="001C503A">
      <w:pPr>
        <w:pStyle w:val="ad"/>
        <w:spacing w:line="360" w:lineRule="auto"/>
        <w:ind w:left="368"/>
        <w:jc w:val="both"/>
        <w:rPr>
          <w:rFonts w:ascii="Arial" w:hAnsi="Arial"/>
          <w:noProof w:val="0"/>
          <w:rtl/>
        </w:rPr>
      </w:pPr>
      <w:r>
        <w:rPr>
          <w:rFonts w:ascii="Arial" w:hAnsi="Arial"/>
          <w:noProof w:val="0"/>
          <w:rtl/>
        </w:rPr>
        <w:t xml:space="preserve">(על כך שאין דרכה של ערכאת הערעור להתערב בהיקף הפיצוי בתביעות נזיקין, ראו גם: ד"ר יעקב שקד, שופט, </w:t>
      </w:r>
      <w:r>
        <w:rPr>
          <w:rFonts w:ascii="Arial" w:hAnsi="Arial"/>
          <w:b/>
          <w:bCs/>
          <w:noProof w:val="0"/>
          <w:rtl/>
        </w:rPr>
        <w:t>סדר הדין האזרחי החדש</w:t>
      </w:r>
      <w:r>
        <w:rPr>
          <w:rFonts w:ascii="Arial" w:hAnsi="Arial"/>
          <w:noProof w:val="0"/>
          <w:rtl/>
        </w:rPr>
        <w:t xml:space="preserve">, מהדורה שלישית, עמ' 772). </w:t>
      </w:r>
    </w:p>
    <w:p w:rsidR="001C503A" w:rsidRDefault="001C503A" w:rsidP="001C503A">
      <w:pPr>
        <w:pStyle w:val="ad"/>
        <w:spacing w:line="360" w:lineRule="auto"/>
        <w:ind w:left="368"/>
        <w:jc w:val="both"/>
        <w:rPr>
          <w:rFonts w:ascii="Arial" w:hAnsi="Arial"/>
          <w:noProof w:val="0"/>
          <w:rtl/>
        </w:rPr>
      </w:pPr>
    </w:p>
    <w:p w:rsidR="001C503A" w:rsidRDefault="001C503A" w:rsidP="001C503A">
      <w:pPr>
        <w:pStyle w:val="ad"/>
        <w:numPr>
          <w:ilvl w:val="0"/>
          <w:numId w:val="1"/>
        </w:numPr>
        <w:spacing w:line="360" w:lineRule="auto"/>
        <w:ind w:left="368"/>
        <w:jc w:val="both"/>
        <w:rPr>
          <w:rFonts w:ascii="Arial" w:hAnsi="Arial"/>
          <w:noProof w:val="0"/>
          <w:rtl/>
        </w:rPr>
      </w:pPr>
      <w:r>
        <w:rPr>
          <w:rFonts w:ascii="Arial" w:hAnsi="Arial"/>
          <w:noProof w:val="0"/>
          <w:rtl/>
        </w:rPr>
        <w:lastRenderedPageBreak/>
        <w:t xml:space="preserve">ביחס לערעור ציפורי, אני סבור שצדק בית המשפט במסקנתו, כי אין לפרש את הביטויים שנכללו בפרסומים של גרינצייג כאילו יש בהם ייחוס מחלת נפש לציפורי, וב"כ ציפורי אישר, כאמור, בדיון כי לא נמצא ביטוי כזה בפרסומים הללו, וכפי בית משפט קמא אינני סבור שהביטויים חוצים את הרף הנדרש כדי לסווג אותם כפרסומים אסורים לפי </w:t>
      </w:r>
      <w:r>
        <w:rPr>
          <w:rFonts w:ascii="Arial" w:hAnsi="Arial"/>
          <w:b/>
          <w:bCs/>
          <w:noProof w:val="0"/>
          <w:rtl/>
        </w:rPr>
        <w:t>החוק</w:t>
      </w:r>
      <w:r>
        <w:rPr>
          <w:rFonts w:ascii="Arial" w:hAnsi="Arial"/>
          <w:noProof w:val="0"/>
          <w:rtl/>
        </w:rPr>
        <w:t xml:space="preserve">,  בשים לב להקשר הדברים והנפשות הפועלות. </w:t>
      </w:r>
    </w:p>
    <w:p w:rsidR="001C503A" w:rsidRDefault="001C503A" w:rsidP="001C503A">
      <w:pPr>
        <w:pStyle w:val="ad"/>
        <w:spacing w:line="360" w:lineRule="auto"/>
        <w:ind w:left="368"/>
        <w:jc w:val="both"/>
        <w:rPr>
          <w:rFonts w:ascii="Arial" w:hAnsi="Arial"/>
          <w:noProof w:val="0"/>
        </w:rPr>
      </w:pPr>
    </w:p>
    <w:p w:rsidR="001C503A" w:rsidRDefault="001C503A" w:rsidP="001C503A">
      <w:pPr>
        <w:pStyle w:val="ad"/>
        <w:numPr>
          <w:ilvl w:val="0"/>
          <w:numId w:val="1"/>
        </w:numPr>
        <w:spacing w:line="360" w:lineRule="auto"/>
        <w:ind w:left="368"/>
        <w:jc w:val="both"/>
        <w:rPr>
          <w:rFonts w:ascii="Arial" w:hAnsi="Arial"/>
          <w:noProof w:val="0"/>
        </w:rPr>
      </w:pPr>
      <w:r>
        <w:rPr>
          <w:rFonts w:ascii="Arial" w:hAnsi="Arial"/>
          <w:noProof w:val="0"/>
          <w:rtl/>
        </w:rPr>
        <w:t xml:space="preserve">סיכומו של דבר, אני סבור כי נכון יהיה לדחות את שני הערעורים ללא צו להוצאות. </w:t>
      </w:r>
    </w:p>
    <w:tbl>
      <w:tblPr>
        <w:tblStyle w:val="a9"/>
        <w:tblpPr w:leftFromText="180" w:rightFromText="180" w:vertAnchor="text" w:horzAnchor="margin" w:tblpY="32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7"/>
      </w:tblGrid>
      <w:tr w:rsidR="001C503A" w:rsidTr="001C503A">
        <w:trPr>
          <w:trHeight w:val="1410"/>
        </w:trPr>
        <w:tc>
          <w:tcPr>
            <w:tcW w:w="2987" w:type="dxa"/>
            <w:tcBorders>
              <w:top w:val="nil"/>
              <w:left w:val="nil"/>
              <w:bottom w:val="single" w:sz="4" w:space="0" w:color="auto"/>
              <w:right w:val="nil"/>
            </w:tcBorders>
            <w:vAlign w:val="center"/>
            <w:hideMark/>
          </w:tcPr>
          <w:p w:rsidR="001C503A" w:rsidRDefault="001C503A">
            <w:pPr>
              <w:rPr>
                <w:rFonts w:ascii="Courier New" w:hAnsi="Courier New"/>
                <w:b/>
                <w:bCs/>
              </w:rPr>
            </w:pPr>
            <w:r>
              <w:drawing>
                <wp:anchor distT="0" distB="0" distL="114300" distR="114300" simplePos="0" relativeHeight="251658240" behindDoc="1" locked="0" layoutInCell="1" allowOverlap="1">
                  <wp:simplePos x="0" y="0"/>
                  <wp:positionH relativeFrom="column">
                    <wp:posOffset>179705</wp:posOffset>
                  </wp:positionH>
                  <wp:positionV relativeFrom="paragraph">
                    <wp:posOffset>-619125</wp:posOffset>
                  </wp:positionV>
                  <wp:extent cx="1316990" cy="814705"/>
                  <wp:effectExtent l="0" t="0" r="0" b="4445"/>
                  <wp:wrapTight wrapText="bothSides">
                    <wp:wrapPolygon edited="0">
                      <wp:start x="0" y="0"/>
                      <wp:lineTo x="0" y="21213"/>
                      <wp:lineTo x="21246" y="21213"/>
                      <wp:lineTo x="21246" y="0"/>
                      <wp:lineTo x="0" y="0"/>
                    </wp:wrapPolygon>
                  </wp:wrapTight>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6990" cy="814705"/>
                          </a:xfrm>
                          <a:prstGeom prst="rect">
                            <a:avLst/>
                          </a:prstGeom>
                          <a:noFill/>
                        </pic:spPr>
                      </pic:pic>
                    </a:graphicData>
                  </a:graphic>
                  <wp14:sizeRelH relativeFrom="page">
                    <wp14:pctWidth>0</wp14:pctWidth>
                  </wp14:sizeRelH>
                  <wp14:sizeRelV relativeFrom="page">
                    <wp14:pctHeight>0</wp14:pctHeight>
                  </wp14:sizeRelV>
                </wp:anchor>
              </w:drawing>
            </w:r>
          </w:p>
        </w:tc>
      </w:tr>
      <w:tr w:rsidR="001C503A" w:rsidTr="001C503A">
        <w:trPr>
          <w:trHeight w:val="403"/>
        </w:trPr>
        <w:tc>
          <w:tcPr>
            <w:tcW w:w="2987" w:type="dxa"/>
            <w:tcBorders>
              <w:top w:val="single" w:sz="4" w:space="0" w:color="auto"/>
              <w:left w:val="nil"/>
              <w:bottom w:val="nil"/>
              <w:right w:val="nil"/>
            </w:tcBorders>
            <w:vAlign w:val="bottom"/>
          </w:tcPr>
          <w:p w:rsidR="001C503A" w:rsidRDefault="001C503A">
            <w:pPr>
              <w:jc w:val="center"/>
              <w:rPr>
                <w:rFonts w:ascii="Courier New" w:hAnsi="Courier New"/>
                <w:b/>
                <w:bCs/>
              </w:rPr>
            </w:pPr>
            <w:r>
              <w:rPr>
                <w:rFonts w:ascii="Courier New" w:hAnsi="Courier New"/>
                <w:b/>
                <w:bCs/>
                <w:rtl/>
              </w:rPr>
              <w:t>יונה אטדגי, שופט</w:t>
            </w:r>
          </w:p>
          <w:p w:rsidR="001C503A" w:rsidRDefault="001C503A">
            <w:pPr>
              <w:jc w:val="center"/>
              <w:rPr>
                <w:rFonts w:ascii="Courier New" w:hAnsi="Courier New"/>
                <w:b/>
                <w:bCs/>
                <w:rtl/>
              </w:rPr>
            </w:pPr>
          </w:p>
        </w:tc>
      </w:tr>
    </w:tbl>
    <w:p w:rsidR="001C503A" w:rsidRDefault="001C503A" w:rsidP="001C503A">
      <w:pPr>
        <w:pStyle w:val="ad"/>
        <w:spacing w:line="360" w:lineRule="auto"/>
        <w:ind w:left="368"/>
        <w:jc w:val="both"/>
        <w:rPr>
          <w:rFonts w:ascii="Arial" w:hAnsi="Arial"/>
          <w:noProof w:val="0"/>
        </w:rPr>
      </w:pPr>
    </w:p>
    <w:p w:rsidR="001C503A" w:rsidRDefault="001C503A" w:rsidP="001C503A"/>
    <w:p w:rsidR="001C503A" w:rsidRDefault="001C503A" w:rsidP="001C503A">
      <w:pPr>
        <w:rPr>
          <w:rtl/>
        </w:rPr>
      </w:pPr>
    </w:p>
    <w:p w:rsidR="001C503A" w:rsidRDefault="001C503A" w:rsidP="001C503A">
      <w:pPr>
        <w:rPr>
          <w:rtl/>
        </w:rPr>
      </w:pPr>
    </w:p>
    <w:p w:rsidR="001C503A" w:rsidRDefault="001C503A" w:rsidP="001C503A">
      <w:pPr>
        <w:rPr>
          <w:rtl/>
        </w:rPr>
      </w:pPr>
    </w:p>
    <w:p w:rsidR="001C503A" w:rsidRDefault="001C503A" w:rsidP="001C503A">
      <w:pPr>
        <w:rPr>
          <w:rtl/>
        </w:rPr>
      </w:pPr>
    </w:p>
    <w:p w:rsidR="001C503A" w:rsidRDefault="001C503A" w:rsidP="001C503A"/>
    <w:p w:rsidR="001C503A" w:rsidRDefault="001C503A" w:rsidP="001C503A">
      <w:pPr>
        <w:spacing w:line="360" w:lineRule="auto"/>
        <w:jc w:val="both"/>
        <w:rPr>
          <w:rFonts w:ascii="Arial" w:hAnsi="Arial"/>
          <w:noProof w:val="0"/>
        </w:rPr>
      </w:pP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b/>
          <w:bCs/>
          <w:noProof w:val="0"/>
          <w:u w:val="single"/>
          <w:rtl/>
        </w:rPr>
      </w:pPr>
      <w:r>
        <w:rPr>
          <w:rFonts w:ascii="Arial" w:hAnsi="Arial"/>
          <w:b/>
          <w:bCs/>
          <w:noProof w:val="0"/>
          <w:u w:val="single"/>
          <w:rtl/>
        </w:rPr>
        <w:t>השופט א. צימרמן</w:t>
      </w:r>
    </w:p>
    <w:p w:rsidR="001C503A" w:rsidRDefault="001C503A" w:rsidP="001C503A">
      <w:pPr>
        <w:spacing w:line="360" w:lineRule="auto"/>
        <w:jc w:val="both"/>
        <w:rPr>
          <w:rFonts w:ascii="Arial" w:hAnsi="Arial"/>
          <w:noProof w:val="0"/>
          <w:rtl/>
        </w:rPr>
      </w:pPr>
      <w:r>
        <w:rPr>
          <w:rFonts w:ascii="Arial" w:hAnsi="Arial"/>
          <w:noProof w:val="0"/>
          <w:rtl/>
        </w:rPr>
        <w:t xml:space="preserve">אני מסכים. </w:t>
      </w:r>
    </w:p>
    <w:tbl>
      <w:tblPr>
        <w:tblStyle w:val="a9"/>
        <w:tblpPr w:leftFromText="180" w:rightFromText="180" w:vertAnchor="text" w:horzAnchor="margin" w:tblpY="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1C503A" w:rsidTr="001C503A">
        <w:tc>
          <w:tcPr>
            <w:tcW w:w="2919" w:type="dxa"/>
            <w:tcBorders>
              <w:top w:val="nil"/>
              <w:left w:val="nil"/>
              <w:bottom w:val="single" w:sz="4" w:space="0" w:color="auto"/>
              <w:right w:val="nil"/>
            </w:tcBorders>
            <w:vAlign w:val="center"/>
            <w:hideMark/>
          </w:tcPr>
          <w:p w:rsidR="001C503A" w:rsidRDefault="001C503A">
            <w:pPr>
              <w:jc w:val="center"/>
              <w:rPr>
                <w:rFonts w:ascii="Courier New" w:hAnsi="Courier New"/>
                <w:b/>
                <w:bCs/>
                <w:rtl/>
              </w:rPr>
            </w:pPr>
            <w:r>
              <w:drawing>
                <wp:inline distT="0" distB="0" distL="0" distR="0">
                  <wp:extent cx="942975" cy="799465"/>
                  <wp:effectExtent l="0" t="0" r="9525" b="63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975" cy="799465"/>
                          </a:xfrm>
                          <a:prstGeom prst="rect">
                            <a:avLst/>
                          </a:prstGeom>
                          <a:noFill/>
                          <a:ln>
                            <a:noFill/>
                          </a:ln>
                        </pic:spPr>
                      </pic:pic>
                    </a:graphicData>
                  </a:graphic>
                </wp:inline>
              </w:drawing>
            </w:r>
          </w:p>
        </w:tc>
      </w:tr>
      <w:tr w:rsidR="001C503A" w:rsidTr="001C503A">
        <w:tc>
          <w:tcPr>
            <w:tcW w:w="2919" w:type="dxa"/>
            <w:tcBorders>
              <w:top w:val="single" w:sz="4" w:space="0" w:color="auto"/>
              <w:left w:val="nil"/>
              <w:bottom w:val="nil"/>
              <w:right w:val="nil"/>
            </w:tcBorders>
            <w:vAlign w:val="bottom"/>
          </w:tcPr>
          <w:p w:rsidR="001C503A" w:rsidRDefault="001C503A">
            <w:pPr>
              <w:jc w:val="center"/>
              <w:rPr>
                <w:rFonts w:ascii="Courier New" w:hAnsi="Courier New"/>
                <w:b/>
                <w:bCs/>
                <w:rtl/>
              </w:rPr>
            </w:pPr>
            <w:r>
              <w:rPr>
                <w:rFonts w:ascii="Courier New" w:hAnsi="Courier New"/>
                <w:b/>
                <w:bCs/>
                <w:rtl/>
              </w:rPr>
              <w:t>אריאל צימרמן, שופט</w:t>
            </w:r>
          </w:p>
          <w:p w:rsidR="001C503A" w:rsidRDefault="001C503A">
            <w:pPr>
              <w:jc w:val="center"/>
              <w:rPr>
                <w:rFonts w:ascii="Courier New" w:hAnsi="Courier New"/>
                <w:b/>
                <w:bCs/>
                <w:rtl/>
              </w:rPr>
            </w:pPr>
          </w:p>
        </w:tc>
      </w:tr>
    </w:tbl>
    <w:p w:rsidR="001C503A" w:rsidRDefault="001C503A" w:rsidP="001C503A">
      <w:r>
        <w:rPr>
          <w:rFonts w:ascii="Arial" w:hAnsi="Arial"/>
          <w:noProof w:val="0"/>
          <w:rtl/>
        </w:rPr>
        <w:br/>
      </w:r>
    </w:p>
    <w:p w:rsidR="001C503A" w:rsidRDefault="001C503A" w:rsidP="001C503A">
      <w:pPr>
        <w:rPr>
          <w:rtl/>
        </w:rPr>
      </w:pPr>
    </w:p>
    <w:p w:rsidR="001C503A" w:rsidRDefault="001C503A" w:rsidP="001C503A">
      <w:pPr>
        <w:rPr>
          <w:rtl/>
        </w:rPr>
      </w:pPr>
    </w:p>
    <w:p w:rsidR="001C503A" w:rsidRDefault="001C503A" w:rsidP="001C503A">
      <w:pPr>
        <w:rPr>
          <w:rtl/>
        </w:rPr>
      </w:pPr>
    </w:p>
    <w:p w:rsidR="001C503A" w:rsidRDefault="001C503A" w:rsidP="001C503A">
      <w:pPr>
        <w:rPr>
          <w:rtl/>
        </w:rPr>
      </w:pPr>
    </w:p>
    <w:p w:rsidR="001C503A" w:rsidRDefault="001C503A" w:rsidP="001C503A"/>
    <w:p w:rsidR="001C503A" w:rsidRDefault="001C503A" w:rsidP="001C503A">
      <w:pPr>
        <w:spacing w:line="360" w:lineRule="auto"/>
        <w:jc w:val="both"/>
        <w:rPr>
          <w:rFonts w:ascii="Arial" w:hAnsi="Arial"/>
          <w:noProof w:val="0"/>
        </w:rPr>
      </w:pP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b/>
          <w:bCs/>
          <w:noProof w:val="0"/>
          <w:u w:val="single"/>
          <w:rtl/>
        </w:rPr>
      </w:pPr>
      <w:r>
        <w:rPr>
          <w:rFonts w:ascii="Arial" w:hAnsi="Arial"/>
          <w:b/>
          <w:bCs/>
          <w:noProof w:val="0"/>
          <w:u w:val="single"/>
          <w:rtl/>
        </w:rPr>
        <w:t xml:space="preserve">השופטת ט. לוי-מיכאלי </w:t>
      </w:r>
    </w:p>
    <w:p w:rsidR="001C503A" w:rsidRDefault="001C503A" w:rsidP="001C503A">
      <w:pPr>
        <w:spacing w:line="360" w:lineRule="auto"/>
        <w:jc w:val="both"/>
        <w:rPr>
          <w:rFonts w:ascii="Arial" w:hAnsi="Arial"/>
          <w:noProof w:val="0"/>
          <w:rtl/>
        </w:rPr>
      </w:pPr>
      <w:r>
        <w:rPr>
          <w:rFonts w:ascii="Arial" w:hAnsi="Arial"/>
          <w:noProof w:val="0"/>
          <w:rtl/>
        </w:rPr>
        <w:t xml:space="preserve">אני מסכימה. </w:t>
      </w:r>
    </w:p>
    <w:tbl>
      <w:tblPr>
        <w:tblStyle w:val="a9"/>
        <w:tblpPr w:leftFromText="180" w:rightFromText="180" w:vertAnchor="text" w:horzAnchor="margin" w:tblpY="198"/>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104"/>
      </w:tblGrid>
      <w:tr w:rsidR="001C503A" w:rsidTr="001C503A">
        <w:trPr>
          <w:trHeight w:val="366"/>
        </w:trPr>
        <w:tc>
          <w:tcPr>
            <w:tcW w:w="3104" w:type="dxa"/>
            <w:tcBorders>
              <w:top w:val="nil"/>
              <w:left w:val="nil"/>
              <w:bottom w:val="single" w:sz="4" w:space="0" w:color="auto"/>
              <w:right w:val="nil"/>
            </w:tcBorders>
            <w:hideMark/>
          </w:tcPr>
          <w:p w:rsidR="001C503A" w:rsidRDefault="001C503A">
            <w:pPr>
              <w:jc w:val="center"/>
              <w:rPr>
                <w:rtl/>
              </w:rPr>
            </w:pPr>
            <w:r>
              <w:drawing>
                <wp:inline distT="0" distB="0" distL="0" distR="0">
                  <wp:extent cx="705485" cy="360045"/>
                  <wp:effectExtent l="0" t="0" r="0" b="190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5485" cy="360045"/>
                          </a:xfrm>
                          <a:prstGeom prst="rect">
                            <a:avLst/>
                          </a:prstGeom>
                          <a:noFill/>
                          <a:ln>
                            <a:noFill/>
                          </a:ln>
                        </pic:spPr>
                      </pic:pic>
                    </a:graphicData>
                  </a:graphic>
                </wp:inline>
              </w:drawing>
            </w:r>
          </w:p>
        </w:tc>
      </w:tr>
      <w:tr w:rsidR="001C503A" w:rsidTr="001C503A">
        <w:trPr>
          <w:trHeight w:val="433"/>
        </w:trPr>
        <w:tc>
          <w:tcPr>
            <w:tcW w:w="3104" w:type="dxa"/>
            <w:tcBorders>
              <w:top w:val="single" w:sz="4" w:space="0" w:color="auto"/>
              <w:left w:val="nil"/>
              <w:bottom w:val="nil"/>
              <w:right w:val="nil"/>
            </w:tcBorders>
            <w:hideMark/>
          </w:tcPr>
          <w:p w:rsidR="001C503A" w:rsidRDefault="001C503A">
            <w:pPr>
              <w:jc w:val="center"/>
              <w:rPr>
                <w:b/>
                <w:bCs/>
                <w:rtl/>
              </w:rPr>
            </w:pPr>
            <w:r>
              <w:rPr>
                <w:b/>
                <w:bCs/>
                <w:rtl/>
              </w:rPr>
              <w:t>טל לוי מיכאלי, שופטת</w:t>
            </w:r>
          </w:p>
        </w:tc>
      </w:tr>
    </w:tbl>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b/>
          <w:bCs/>
          <w:noProof w:val="0"/>
          <w:u w:val="single"/>
          <w:rtl/>
        </w:rPr>
      </w:pPr>
    </w:p>
    <w:p w:rsidR="001C503A" w:rsidRDefault="001C503A" w:rsidP="001C503A">
      <w:pPr>
        <w:spacing w:line="360" w:lineRule="auto"/>
        <w:jc w:val="both"/>
        <w:rPr>
          <w:rFonts w:ascii="Arial" w:hAnsi="Arial"/>
          <w:b/>
          <w:bCs/>
          <w:noProof w:val="0"/>
          <w:u w:val="single"/>
          <w:rtl/>
        </w:rPr>
      </w:pPr>
    </w:p>
    <w:p w:rsidR="001C503A" w:rsidRDefault="001C503A" w:rsidP="001C503A">
      <w:pPr>
        <w:spacing w:line="360" w:lineRule="auto"/>
        <w:jc w:val="both"/>
        <w:rPr>
          <w:rFonts w:ascii="Arial" w:hAnsi="Arial"/>
          <w:b/>
          <w:bCs/>
          <w:noProof w:val="0"/>
          <w:u w:val="single"/>
          <w:rtl/>
        </w:rPr>
      </w:pPr>
      <w:r>
        <w:rPr>
          <w:rFonts w:ascii="Arial" w:hAnsi="Arial"/>
          <w:b/>
          <w:bCs/>
          <w:noProof w:val="0"/>
          <w:u w:val="single"/>
          <w:rtl/>
        </w:rPr>
        <w:lastRenderedPageBreak/>
        <w:t>תוצאה</w:t>
      </w:r>
    </w:p>
    <w:p w:rsidR="001C503A" w:rsidRDefault="001C503A" w:rsidP="001C503A">
      <w:pPr>
        <w:spacing w:line="360" w:lineRule="auto"/>
        <w:jc w:val="both"/>
        <w:rPr>
          <w:rFonts w:ascii="Arial" w:hAnsi="Arial"/>
          <w:noProof w:val="0"/>
          <w:rtl/>
        </w:rPr>
      </w:pPr>
      <w:r>
        <w:rPr>
          <w:rFonts w:ascii="Arial" w:hAnsi="Arial"/>
          <w:noProof w:val="0"/>
          <w:rtl/>
        </w:rPr>
        <w:t xml:space="preserve">שני הערעורים נדחים. </w:t>
      </w:r>
    </w:p>
    <w:p w:rsidR="001C503A" w:rsidRDefault="001C503A" w:rsidP="001C503A">
      <w:pPr>
        <w:spacing w:line="360" w:lineRule="auto"/>
        <w:jc w:val="both"/>
        <w:rPr>
          <w:rFonts w:ascii="Arial" w:hAnsi="Arial"/>
          <w:noProof w:val="0"/>
          <w:rtl/>
        </w:rPr>
      </w:pPr>
      <w:r>
        <w:rPr>
          <w:rFonts w:ascii="Arial" w:hAnsi="Arial"/>
          <w:noProof w:val="0"/>
          <w:rtl/>
        </w:rPr>
        <w:t xml:space="preserve">אין צו להוצאות. </w:t>
      </w:r>
    </w:p>
    <w:p w:rsidR="001C503A" w:rsidRDefault="001C503A" w:rsidP="001C503A">
      <w:pPr>
        <w:spacing w:line="360" w:lineRule="auto"/>
        <w:jc w:val="both"/>
        <w:rPr>
          <w:rFonts w:ascii="Arial" w:hAnsi="Arial"/>
          <w:noProof w:val="0"/>
          <w:rtl/>
        </w:rPr>
      </w:pPr>
      <w:r>
        <w:rPr>
          <w:rFonts w:ascii="Arial" w:hAnsi="Arial"/>
          <w:noProof w:val="0"/>
          <w:rtl/>
        </w:rPr>
        <w:t xml:space="preserve">המזכירות תשיב לשני המערערים, באמצעות ב"כ, את הערבונות. </w:t>
      </w:r>
    </w:p>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noProof w:val="0"/>
          <w:rtl/>
        </w:rPr>
      </w:pPr>
    </w:p>
    <w:p w:rsidR="001C503A" w:rsidRDefault="001C503A" w:rsidP="001C503A">
      <w:pPr>
        <w:rPr>
          <w:rtl/>
        </w:rPr>
      </w:pPr>
    </w:p>
    <w:p w:rsidR="001C503A" w:rsidRDefault="001C503A" w:rsidP="001C503A"/>
    <w:p w:rsidR="001C503A" w:rsidRDefault="001C503A" w:rsidP="001C503A">
      <w:pPr>
        <w:spacing w:line="360" w:lineRule="auto"/>
        <w:jc w:val="both"/>
        <w:rPr>
          <w:rFonts w:ascii="Arial" w:hAnsi="Arial"/>
          <w:noProof w:val="0"/>
          <w:rtl/>
        </w:rPr>
      </w:pPr>
    </w:p>
    <w:p w:rsidR="001C503A" w:rsidRDefault="001C503A" w:rsidP="001C503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אוגוסט 2024</w:t>
          </w:r>
        </w:sdtContent>
      </w:sdt>
      <w:r>
        <w:rPr>
          <w:rFonts w:ascii="Arial" w:hAnsi="Arial"/>
          <w:noProof w:val="0"/>
          <w:rtl/>
        </w:rPr>
        <w:t>, בהעדר הצדדים.</w:t>
      </w:r>
    </w:p>
    <w:p w:rsidR="001C503A" w:rsidRDefault="001C503A" w:rsidP="001C503A">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7"/>
        <w:gridCol w:w="235"/>
        <w:gridCol w:w="2239"/>
        <w:gridCol w:w="293"/>
        <w:gridCol w:w="2613"/>
      </w:tblGrid>
      <w:tr w:rsidR="001C503A" w:rsidTr="001C503A">
        <w:tc>
          <w:tcPr>
            <w:tcW w:w="2960" w:type="dxa"/>
            <w:tcBorders>
              <w:top w:val="nil"/>
              <w:left w:val="nil"/>
              <w:bottom w:val="single" w:sz="4" w:space="0" w:color="auto"/>
              <w:right w:val="nil"/>
            </w:tcBorders>
            <w:vAlign w:val="center"/>
            <w:hideMark/>
          </w:tcPr>
          <w:p w:rsidR="001C503A" w:rsidRDefault="001C503A">
            <w:pPr>
              <w:jc w:val="center"/>
              <w:rPr>
                <w:rFonts w:ascii="Courier New" w:hAnsi="Courier New"/>
                <w:b/>
                <w:bCs/>
                <w:rtl/>
                <w:lang w:eastAsia="he-IL"/>
              </w:rPr>
            </w:pPr>
            <w:r>
              <w:drawing>
                <wp:inline distT="0" distB="0" distL="0" distR="0">
                  <wp:extent cx="1504950" cy="93599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4950" cy="935990"/>
                          </a:xfrm>
                          <a:prstGeom prst="rect">
                            <a:avLst/>
                          </a:prstGeom>
                          <a:noFill/>
                          <a:ln>
                            <a:noFill/>
                          </a:ln>
                        </pic:spPr>
                      </pic:pic>
                    </a:graphicData>
                  </a:graphic>
                </wp:inline>
              </w:drawing>
            </w:r>
          </w:p>
        </w:tc>
        <w:tc>
          <w:tcPr>
            <w:tcW w:w="236" w:type="dxa"/>
            <w:vAlign w:val="center"/>
          </w:tcPr>
          <w:p w:rsidR="001C503A" w:rsidRDefault="001C503A">
            <w:pPr>
              <w:jc w:val="center"/>
              <w:rPr>
                <w:rFonts w:ascii="Courier New" w:hAnsi="Courier New"/>
                <w:b/>
                <w:bCs/>
                <w:lang w:eastAsia="he-IL"/>
              </w:rPr>
            </w:pPr>
          </w:p>
        </w:tc>
        <w:tc>
          <w:tcPr>
            <w:tcW w:w="2289" w:type="dxa"/>
            <w:tcBorders>
              <w:top w:val="nil"/>
              <w:left w:val="nil"/>
              <w:bottom w:val="single" w:sz="4" w:space="0" w:color="auto"/>
              <w:right w:val="nil"/>
            </w:tcBorders>
            <w:vAlign w:val="center"/>
            <w:hideMark/>
          </w:tcPr>
          <w:p w:rsidR="001C503A" w:rsidRDefault="001C503A">
            <w:pPr>
              <w:jc w:val="center"/>
              <w:rPr>
                <w:rFonts w:ascii="Courier New" w:hAnsi="Courier New"/>
                <w:b/>
                <w:bCs/>
                <w:sz w:val="20"/>
                <w:szCs w:val="20"/>
                <w:lang w:eastAsia="he-IL"/>
              </w:rPr>
            </w:pPr>
            <w:r>
              <w:drawing>
                <wp:inline distT="0" distB="0" distL="0" distR="0">
                  <wp:extent cx="942975" cy="799465"/>
                  <wp:effectExtent l="0" t="0" r="9525" b="63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975" cy="799465"/>
                          </a:xfrm>
                          <a:prstGeom prst="rect">
                            <a:avLst/>
                          </a:prstGeom>
                          <a:noFill/>
                          <a:ln>
                            <a:noFill/>
                          </a:ln>
                        </pic:spPr>
                      </pic:pic>
                    </a:graphicData>
                  </a:graphic>
                </wp:inline>
              </w:drawing>
            </w:r>
          </w:p>
        </w:tc>
        <w:tc>
          <w:tcPr>
            <w:tcW w:w="300" w:type="dxa"/>
            <w:vAlign w:val="center"/>
          </w:tcPr>
          <w:p w:rsidR="001C503A" w:rsidRDefault="001C503A">
            <w:pPr>
              <w:jc w:val="center"/>
              <w:rPr>
                <w:rFonts w:ascii="Courier New" w:hAnsi="Courier New"/>
                <w:b/>
                <w:bCs/>
                <w:lang w:eastAsia="he-IL"/>
              </w:rPr>
            </w:pPr>
          </w:p>
        </w:tc>
        <w:tc>
          <w:tcPr>
            <w:tcW w:w="2737" w:type="dxa"/>
            <w:tcBorders>
              <w:top w:val="nil"/>
              <w:left w:val="nil"/>
              <w:bottom w:val="single" w:sz="4" w:space="0" w:color="auto"/>
              <w:right w:val="nil"/>
            </w:tcBorders>
            <w:vAlign w:val="center"/>
            <w:hideMark/>
          </w:tcPr>
          <w:p w:rsidR="001C503A" w:rsidRDefault="001C503A">
            <w:pPr>
              <w:jc w:val="center"/>
              <w:rPr>
                <w:rFonts w:ascii="Courier New" w:hAnsi="Courier New"/>
                <w:b/>
                <w:bCs/>
                <w:sz w:val="20"/>
                <w:szCs w:val="20"/>
                <w:lang w:eastAsia="he-IL"/>
              </w:rPr>
            </w:pPr>
            <w:r>
              <w:drawing>
                <wp:inline distT="0" distB="0" distL="0" distR="0">
                  <wp:extent cx="705485" cy="3600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5485" cy="360045"/>
                          </a:xfrm>
                          <a:prstGeom prst="rect">
                            <a:avLst/>
                          </a:prstGeom>
                          <a:noFill/>
                          <a:ln>
                            <a:noFill/>
                          </a:ln>
                        </pic:spPr>
                      </pic:pic>
                    </a:graphicData>
                  </a:graphic>
                </wp:inline>
              </w:drawing>
            </w:r>
          </w:p>
        </w:tc>
      </w:tr>
      <w:tr w:rsidR="001C503A" w:rsidTr="001C503A">
        <w:tc>
          <w:tcPr>
            <w:tcW w:w="2960" w:type="dxa"/>
            <w:tcBorders>
              <w:top w:val="single" w:sz="4" w:space="0" w:color="auto"/>
              <w:left w:val="nil"/>
              <w:bottom w:val="nil"/>
              <w:right w:val="nil"/>
            </w:tcBorders>
            <w:vAlign w:val="bottom"/>
            <w:hideMark/>
          </w:tcPr>
          <w:p w:rsidR="001C503A" w:rsidRDefault="001C503A">
            <w:pPr>
              <w:jc w:val="center"/>
              <w:rPr>
                <w:rFonts w:ascii="Courier New" w:hAnsi="Courier New"/>
                <w:b/>
                <w:bCs/>
              </w:rPr>
            </w:pPr>
            <w:r>
              <w:rPr>
                <w:rFonts w:ascii="Courier New" w:hAnsi="Courier New"/>
                <w:b/>
                <w:bCs/>
                <w:rtl/>
              </w:rPr>
              <w:t>יונה אטדגי, שופט</w:t>
            </w:r>
          </w:p>
          <w:p w:rsidR="001C503A" w:rsidRDefault="001C503A">
            <w:pPr>
              <w:jc w:val="center"/>
              <w:rPr>
                <w:rFonts w:ascii="Courier New" w:hAnsi="Courier New"/>
                <w:b/>
                <w:bCs/>
                <w:rtl/>
                <w:lang w:eastAsia="he-IL"/>
              </w:rPr>
            </w:pPr>
            <w:r>
              <w:rPr>
                <w:rFonts w:ascii="Courier New" w:hAnsi="Courier New"/>
                <w:b/>
                <w:bCs/>
                <w:rtl/>
                <w:lang w:eastAsia="he-IL"/>
              </w:rPr>
              <w:t>אב"ד</w:t>
            </w:r>
          </w:p>
        </w:tc>
        <w:tc>
          <w:tcPr>
            <w:tcW w:w="236" w:type="dxa"/>
            <w:vAlign w:val="bottom"/>
          </w:tcPr>
          <w:p w:rsidR="001C503A" w:rsidRDefault="001C503A">
            <w:pPr>
              <w:jc w:val="center"/>
              <w:rPr>
                <w:rFonts w:ascii="Courier New" w:hAnsi="Courier New"/>
                <w:b/>
                <w:bCs/>
                <w:lang w:eastAsia="he-IL"/>
              </w:rPr>
            </w:pPr>
          </w:p>
        </w:tc>
        <w:tc>
          <w:tcPr>
            <w:tcW w:w="2289" w:type="dxa"/>
            <w:tcBorders>
              <w:top w:val="single" w:sz="4" w:space="0" w:color="auto"/>
              <w:left w:val="nil"/>
              <w:bottom w:val="nil"/>
              <w:right w:val="nil"/>
            </w:tcBorders>
            <w:hideMark/>
          </w:tcPr>
          <w:p w:rsidR="001C503A" w:rsidRDefault="001C503A">
            <w:pPr>
              <w:jc w:val="center"/>
              <w:rPr>
                <w:rFonts w:ascii="Courier New" w:hAnsi="Courier New"/>
                <w:b/>
                <w:bCs/>
                <w:lang w:eastAsia="he-IL"/>
              </w:rPr>
            </w:pPr>
            <w:r>
              <w:rPr>
                <w:rFonts w:ascii="Courier New" w:hAnsi="Courier New"/>
                <w:b/>
                <w:bCs/>
                <w:rtl/>
                <w:lang w:eastAsia="he-IL"/>
              </w:rPr>
              <w:t>אריאל צימרמן, שופט</w:t>
            </w:r>
          </w:p>
        </w:tc>
        <w:tc>
          <w:tcPr>
            <w:tcW w:w="300" w:type="dxa"/>
          </w:tcPr>
          <w:p w:rsidR="001C503A" w:rsidRDefault="001C503A">
            <w:pPr>
              <w:jc w:val="center"/>
              <w:rPr>
                <w:rFonts w:ascii="Courier New" w:hAnsi="Courier New"/>
                <w:b/>
                <w:bCs/>
                <w:lang w:eastAsia="he-IL"/>
              </w:rPr>
            </w:pPr>
          </w:p>
        </w:tc>
        <w:tc>
          <w:tcPr>
            <w:tcW w:w="2737" w:type="dxa"/>
            <w:tcBorders>
              <w:top w:val="single" w:sz="4" w:space="0" w:color="auto"/>
              <w:left w:val="nil"/>
              <w:bottom w:val="nil"/>
              <w:right w:val="nil"/>
            </w:tcBorders>
            <w:hideMark/>
          </w:tcPr>
          <w:p w:rsidR="001C503A" w:rsidRDefault="001C503A">
            <w:pPr>
              <w:jc w:val="center"/>
              <w:rPr>
                <w:rFonts w:ascii="Courier New" w:hAnsi="Courier New"/>
                <w:b/>
                <w:bCs/>
                <w:lang w:eastAsia="he-IL"/>
              </w:rPr>
            </w:pPr>
            <w:r>
              <w:rPr>
                <w:rFonts w:ascii="Courier New" w:hAnsi="Courier New"/>
                <w:b/>
                <w:bCs/>
                <w:rtl/>
                <w:lang w:eastAsia="he-IL"/>
              </w:rPr>
              <w:t xml:space="preserve">טל לוי מיכאלי, </w:t>
            </w:r>
            <w:sdt>
              <w:sdtPr>
                <w:rPr>
                  <w:rFonts w:ascii="Courier New" w:hAnsi="Courier New"/>
                  <w:b/>
                  <w:bCs/>
                  <w:rtl/>
                  <w:lang w:eastAsia="he-IL"/>
                </w:rPr>
                <w:alias w:val="2143"/>
                <w:tag w:val="2143"/>
                <w:id w:val="1647695366"/>
                <w:placeholder>
                  <w:docPart w:val="69BD427C1DC6435EA5C12153DBCB96E4"/>
                </w:placeholder>
                <w:text w:multiLine="1"/>
              </w:sdtPr>
              <w:sdtEndPr/>
              <w:sdtContent>
                <w:r>
                  <w:rPr>
                    <w:rFonts w:ascii="Courier New" w:hAnsi="Courier New"/>
                    <w:b/>
                    <w:bCs/>
                    <w:rtl/>
                    <w:lang w:eastAsia="he-IL"/>
                  </w:rPr>
                  <w:t>שופט</w:t>
                </w:r>
              </w:sdtContent>
            </w:sdt>
            <w:r>
              <w:rPr>
                <w:rFonts w:ascii="Courier New" w:hAnsi="Courier New"/>
                <w:b/>
                <w:bCs/>
                <w:rtl/>
                <w:lang w:eastAsia="he-IL"/>
              </w:rPr>
              <w:t>ת</w:t>
            </w:r>
          </w:p>
        </w:tc>
      </w:tr>
    </w:tbl>
    <w:p w:rsidR="001C503A" w:rsidRDefault="001C503A" w:rsidP="001C503A"/>
    <w:p w:rsidR="001C503A" w:rsidRDefault="001C503A" w:rsidP="001C503A">
      <w:pPr>
        <w:spacing w:line="360" w:lineRule="auto"/>
        <w:jc w:val="both"/>
        <w:rPr>
          <w:rFonts w:ascii="Arial" w:hAnsi="Arial"/>
          <w:noProof w:val="0"/>
        </w:rPr>
      </w:pPr>
    </w:p>
    <w:p w:rsidR="00694556" w:rsidRPr="001C503A" w:rsidRDefault="00694556" w:rsidP="001C503A">
      <w:pPr>
        <w:rPr>
          <w:rtl/>
        </w:rPr>
      </w:pPr>
    </w:p>
    <w:sectPr w:rsidR="00694556" w:rsidRPr="001C503A" w:rsidSect="001C503A">
      <w:headerReference w:type="default" r:id="rId12"/>
      <w:footerReference w:type="default" r:id="rId13"/>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0D9" w:rsidRDefault="00F570D9">
      <w:r>
        <w:separator/>
      </w:r>
    </w:p>
  </w:endnote>
  <w:endnote w:type="continuationSeparator" w:id="0">
    <w:p w:rsidR="00F570D9" w:rsidRDefault="00F5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47D5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47D52">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0D9" w:rsidRDefault="00F570D9">
      <w:r>
        <w:separator/>
      </w:r>
    </w:p>
  </w:footnote>
  <w:footnote w:type="continuationSeparator" w:id="0">
    <w:p w:rsidR="00F570D9" w:rsidRDefault="00F57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F570D9" w:rsidP="001C503A">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58271-09-23</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גרינצייג נ' ציפורי</w:t>
              </w:r>
            </w:sdtContent>
          </w:sdt>
        </w:p>
        <w:p w:rsidR="00694556" w:rsidRPr="00CD0055" w:rsidRDefault="00F570D9">
          <w:pPr>
            <w:rPr>
              <w:b/>
              <w:bCs/>
              <w:noProof w:val="0"/>
              <w:sz w:val="26"/>
              <w:szCs w:val="26"/>
              <w:rtl/>
            </w:rPr>
          </w:pPr>
          <w:sdt>
            <w:sdtPr>
              <w:rPr>
                <w:b/>
                <w:bCs/>
                <w:noProof w:val="0"/>
                <w:sz w:val="26"/>
                <w:szCs w:val="26"/>
                <w:rtl/>
              </w:rPr>
              <w:alias w:val="1170"/>
              <w:tag w:val="1170"/>
              <w:id w:val="-513309559"/>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418722919"/>
              <w:text w:multiLine="1"/>
            </w:sdtPr>
            <w:sdtEndPr/>
            <w:sdtContent>
              <w:r w:rsidR="006B5553">
                <w:rPr>
                  <w:b/>
                  <w:bCs/>
                  <w:noProof w:val="0"/>
                  <w:sz w:val="26"/>
                  <w:szCs w:val="26"/>
                  <w:rtl/>
                </w:rPr>
                <w:t>59505-09-23</w:t>
              </w:r>
            </w:sdtContent>
          </w:sdt>
          <w:r w:rsidR="00005C8B" w:rsidRPr="00CD0055">
            <w:rPr>
              <w:b/>
              <w:bCs/>
              <w:noProof w:val="0"/>
              <w:sz w:val="26"/>
              <w:szCs w:val="26"/>
              <w:rtl/>
            </w:rPr>
            <w:t xml:space="preserve"> </w:t>
          </w:r>
          <w:sdt>
            <w:sdtPr>
              <w:rPr>
                <w:b/>
                <w:bCs/>
                <w:noProof w:val="0"/>
                <w:sz w:val="26"/>
                <w:szCs w:val="26"/>
                <w:rtl/>
              </w:rPr>
              <w:alias w:val="1172"/>
              <w:tag w:val="1172"/>
              <w:id w:val="650415165"/>
              <w:text w:multiLine="1"/>
            </w:sdtPr>
            <w:sdtEndPr/>
            <w:sdtContent>
              <w:r w:rsidR="006B5553">
                <w:rPr>
                  <w:b/>
                  <w:bCs/>
                  <w:noProof w:val="0"/>
                  <w:sz w:val="26"/>
                  <w:szCs w:val="26"/>
                  <w:rtl/>
                </w:rPr>
                <w:t>ציפורי נ' גרינצייג</w:t>
              </w:r>
            </w:sdtContent>
          </w:sdt>
        </w:p>
        <w:p w:rsidR="00957C90" w:rsidRPr="00CD0055" w:rsidRDefault="00957C90" w:rsidP="000B2E97">
          <w:pPr>
            <w:rPr>
              <w:b/>
              <w:bCs/>
              <w:noProof w:val="0"/>
              <w:sz w:val="26"/>
              <w:szCs w:val="26"/>
              <w:rtl/>
            </w:rPr>
          </w:pP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90C57"/>
    <w:multiLevelType w:val="hybridMultilevel"/>
    <w:tmpl w:val="55122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3374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33740&amp;lt;/CaseID&amp;gt;_x000d__x000a_        &amp;lt;CaseMonth&amp;gt;9&amp;lt;/CaseMonth&amp;gt;_x000d__x000a_        &amp;lt;CaseYear&amp;gt;2023&amp;lt;/CaseYear&amp;gt;_x000d__x000a_        &amp;lt;CaseNumber&amp;gt;58271&amp;lt;/CaseNumber&amp;gt;_x000d__x000a_        &amp;lt;NumeratorGroupID&amp;gt;1&amp;lt;/NumeratorGroupID&amp;gt;_x000d__x000a_        &amp;lt;CaseName&amp;gt;גרינצייג נ&amp;#39; ציפורי&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58271-09-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27T15:32: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עותקים כרוכים  שחסרים  מועברים  ללשכות  ( הערה מיום 21.3 )   צימרמן    וטלי לו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33740&amp;lt;/CaseID&amp;gt;_x000d__x000a_        &amp;lt;CaseMonth&amp;gt;9&amp;lt;/CaseMonth&amp;gt;_x000d__x000a_        &amp;lt;CaseYear&amp;gt;2023&amp;lt;/CaseYear&amp;gt;_x000d__x000a_        &amp;lt;CaseNumber&amp;gt;58271&amp;lt;/CaseNumber&amp;gt;_x000d__x000a_        &amp;lt;NumeratorGroupID&amp;gt;1&amp;lt;/NumeratorGroupID&amp;gt;_x000d__x000a_        &amp;lt;CaseName&amp;gt;גרינצייג נ&amp;#39; ציפורי&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58271-09-23&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09-27T15:32:00+03: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עותקים כרוכים  שחסרים  מועברים  ללשכות  ( הערה מיום 21.3 )   צימרמן    וטלי לו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84885&amp;lt;/DecisionID&amp;gt;_x000d__x000a_        &amp;lt;DecisionName&amp;gt;פסק דין  שניתנה ע&amp;quot;י  יונה אטדגי&amp;lt;/DecisionName&amp;gt;_x000d__x000a_        &amp;lt;DecisionStatusID&amp;gt;1&amp;lt;/DecisionStatusID&amp;gt;_x000d__x000a_        &amp;lt;DecisionStatusChangeDate&amp;gt;2024-08-19T09:37:33.767+03:00&amp;lt;/DecisionStatusChangeDate&amp;gt;_x000d__x000a_        &amp;lt;DecisionSignatureDate&amp;gt;2024-08-19T09:37:30.713+03:00&amp;lt;/DecisionSignatureDate&amp;gt;_x000d__x000a_        &amp;lt;DecisionSignatureUserID&amp;gt;012356945@GOV.IL&amp;lt;/DecisionSignatureUserID&amp;gt;_x000d__x000a_        &amp;lt;DecisionCreateDate&amp;gt;2024-08-19T09:37:33.737+03:00&amp;lt;/DecisionCreateDate&amp;gt;_x000d__x000a_        &amp;lt;DecisionChangeDate&amp;gt;2024-08-19T09:37:33.86+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028360&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4484885&amp;lt;/DecisionID&amp;gt;_x000d__x000a_        &amp;lt;CaseID&amp;gt;80635013&amp;lt;/CaseID&amp;gt;_x000d__x000a_        &amp;lt;IsOriginal&amp;gt;false&amp;lt;/IsOriginal&amp;gt;_x000d__x000a_        &amp;lt;IsDeleted&amp;gt;false&amp;lt;/IsDeleted&amp;gt;_x000d__x000a_        &amp;lt;CaseLinkTypeID&amp;gt;1&amp;lt;/CaseLinkTypeID&amp;gt;_x000d__x000a_        &amp;lt;CaseName&amp;gt;ציפורי נ&amp;#39; גרינצייג&amp;lt;/CaseName&amp;gt;_x000d__x000a_        &amp;lt;CaseDisplayIdentifier&amp;gt;59505-09-23 ע&amp;quot;א&amp;lt;/CaseDisplayIdentifier&amp;gt;_x000d__x000a_      &amp;lt;/dt_DecisionCase&amp;gt;_x000d__x000a_      &amp;lt;dt_DecisionCase diffgr:id=&amp;quot;dt_DecisionCase2&amp;quot; msdata:rowOrder=&amp;quot;1&amp;quot;&amp;gt;_x000d__x000a_        &amp;lt;DecisionID&amp;gt;154484885&amp;lt;/DecisionID&amp;gt;_x000d__x000a_        &amp;lt;CaseID&amp;gt;80633740&amp;lt;/CaseID&amp;gt;_x000d__x000a_        &amp;lt;IsOriginal&amp;gt;true&amp;lt;/IsOriginal&amp;gt;_x000d__x000a_        &amp;lt;IsDeleted&amp;gt;false&amp;lt;/IsDeleted&amp;gt;_x000d__x000a_        &amp;lt;CaseLinkTypeID&amp;gt;1&amp;lt;/CaseLinkTypeID&amp;gt;_x000d__x000a_        &amp;lt;CaseName&amp;gt;גרינצייג נ&amp;#39; ציפורי&amp;lt;/CaseName&amp;gt;_x000d__x000a_        &amp;lt;CaseDisplayIdentifier&amp;gt;58271-09-23 ע&amp;quot;א&amp;lt;/CaseDisplayIdentifier&amp;gt;_x000d__x000a_      &amp;lt;/dt_DecisionCase&amp;gt;_x000d__x000a_      &amp;lt;dt_DecisionJudgePanel diffgr:id=&amp;quot;dt_DecisionJudgePanel1&amp;quot; msdata:rowOrder=&amp;quot;0&amp;quot;&amp;gt;_x000d__x000a_        &amp;lt;DecisionID&amp;gt;154484885&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484885&amp;lt;/DecisionID&amp;gt;_x000d__x000a_        &amp;lt;JudgeID&amp;gt;02864926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484885&amp;lt;/DecisionID&amp;gt;_x000d__x000a_        &amp;lt;JudgeID&amp;gt;033159567@GOV.IL&amp;lt;/JudgeID&amp;gt;_x000d__x000a_        &amp;lt;OrdinalNumber&amp;gt;3&amp;lt;/OrdinalNumber&amp;gt;_x000d__x000a_      &amp;lt;/dt_DecisionJudgePanel&amp;gt;_x000d__x000a_    &amp;lt;/DecisionDS&amp;gt;_x000d__x000a_  &amp;lt;/diffgr:diffgram&amp;gt;_x000d__x000a_&amp;lt;/DecisionDS&amp;gt;"/>
    <w:docVar w:name="DecisionID" w:val="154484885"/>
    <w:docVar w:name="docID" w:val="453028360"/>
    <w:docVar w:name="judgeUPN" w:val="012356945@GOV.IL"/>
    <w:docVar w:name="NGCS.TemplateCaseInterestID" w:val="10432"/>
    <w:docVar w:name="NGCS.TemplateCaseTypeID" w:val="10001"/>
    <w:docVar w:name="NGCS.TemplateCourtID" w:val="15"/>
    <w:docVar w:name="NGCS.TemplateProceedingID" w:val="14"/>
    <w:docVar w:name="noteDocID" w:val="453028360"/>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B2E97"/>
    <w:rsid w:val="000D4A02"/>
    <w:rsid w:val="001072A9"/>
    <w:rsid w:val="00121F97"/>
    <w:rsid w:val="001277D7"/>
    <w:rsid w:val="00132017"/>
    <w:rsid w:val="0014234E"/>
    <w:rsid w:val="00145A87"/>
    <w:rsid w:val="00147D52"/>
    <w:rsid w:val="00171308"/>
    <w:rsid w:val="001C4003"/>
    <w:rsid w:val="001C503A"/>
    <w:rsid w:val="001F5474"/>
    <w:rsid w:val="002272F4"/>
    <w:rsid w:val="002352F7"/>
    <w:rsid w:val="00295DD1"/>
    <w:rsid w:val="00381D3A"/>
    <w:rsid w:val="003823DA"/>
    <w:rsid w:val="003A35DF"/>
    <w:rsid w:val="0043595F"/>
    <w:rsid w:val="0047645A"/>
    <w:rsid w:val="004D49A3"/>
    <w:rsid w:val="004E6E3C"/>
    <w:rsid w:val="005124F1"/>
    <w:rsid w:val="0051350E"/>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5553"/>
    <w:rsid w:val="006E1A53"/>
    <w:rsid w:val="006F1415"/>
    <w:rsid w:val="007056AA"/>
    <w:rsid w:val="00744F41"/>
    <w:rsid w:val="007A24FE"/>
    <w:rsid w:val="007A35AA"/>
    <w:rsid w:val="007F1048"/>
    <w:rsid w:val="00806472"/>
    <w:rsid w:val="00820005"/>
    <w:rsid w:val="0083107C"/>
    <w:rsid w:val="00846D27"/>
    <w:rsid w:val="008610A7"/>
    <w:rsid w:val="008E1332"/>
    <w:rsid w:val="00903896"/>
    <w:rsid w:val="00927813"/>
    <w:rsid w:val="00944D13"/>
    <w:rsid w:val="00957C90"/>
    <w:rsid w:val="0098674D"/>
    <w:rsid w:val="009E0263"/>
    <w:rsid w:val="00A0260A"/>
    <w:rsid w:val="00A267CF"/>
    <w:rsid w:val="00A43458"/>
    <w:rsid w:val="00AC4E19"/>
    <w:rsid w:val="00AF1ED6"/>
    <w:rsid w:val="00B32C61"/>
    <w:rsid w:val="00B368FE"/>
    <w:rsid w:val="00B80CBD"/>
    <w:rsid w:val="00BC3369"/>
    <w:rsid w:val="00BF77EE"/>
    <w:rsid w:val="00C32E0F"/>
    <w:rsid w:val="00C42BF9"/>
    <w:rsid w:val="00C83E56"/>
    <w:rsid w:val="00C84010"/>
    <w:rsid w:val="00CD0055"/>
    <w:rsid w:val="00D319B3"/>
    <w:rsid w:val="00D53924"/>
    <w:rsid w:val="00D60849"/>
    <w:rsid w:val="00D96D8C"/>
    <w:rsid w:val="00DD337E"/>
    <w:rsid w:val="00E00B6F"/>
    <w:rsid w:val="00E50B33"/>
    <w:rsid w:val="00E54642"/>
    <w:rsid w:val="00E765FD"/>
    <w:rsid w:val="00E97908"/>
    <w:rsid w:val="00EF3ED0"/>
    <w:rsid w:val="00F17E56"/>
    <w:rsid w:val="00F570D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C50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98752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BD427C1DC6435EA5C12153DBCB96E4"/>
        <w:category>
          <w:name w:val="כללי"/>
          <w:gallery w:val="placeholder"/>
        </w:category>
        <w:types>
          <w:type w:val="bbPlcHdr"/>
        </w:types>
        <w:behaviors>
          <w:behavior w:val="content"/>
        </w:behaviors>
        <w:guid w:val="{3631A0EE-BA33-46A4-A8DA-C241A42FA98F}"/>
      </w:docPartPr>
      <w:docPartBody>
        <w:p w:rsidR="00493AB7" w:rsidRDefault="00914DB9" w:rsidP="00914DB9">
          <w:pPr>
            <w:pStyle w:val="69BD427C1DC6435EA5C12153DBCB96E4"/>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A6D44"/>
    <w:rsid w:val="00123E7E"/>
    <w:rsid w:val="00227C29"/>
    <w:rsid w:val="00493AB7"/>
    <w:rsid w:val="00914DB9"/>
    <w:rsid w:val="00CC5512"/>
    <w:rsid w:val="00D6433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69BD427C1DC6435EA5C12153DBCB96E4">
    <w:name w:val="69BD427C1DC6435EA5C12153DBCB96E4"/>
    <w:rsid w:val="00914DB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תובע</RoleName>
        <IsSubProceeding>FALSE</IsSubProceeding>
        <FullName>אבישי גרינצייג</FullName>
        <FirstName>אבישי</FirstName>
        <LastName>גרינצייג</LastName>
        <PartyPropertyName/>
        <AuthenticationTypeAndNumber>ת"ז 300924826</AuthenticationTypeAndNumber>
        <RepresentatedOrRepresentativesNames>אוהד רוזן</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261028433</CasePartyID>
        <PartyTypeID>1</PartyTypeID>
        <ActivityStatusID>1</ActivityStatusID>
        <PartyAliasID>5</PartyAliasID>
        <PartyAliasName>מערער</PartyAliasName>
        <OrdinalNumber>1</OrdinalNumber>
        <LegalEntityID>75377863</LegalEntityID>
        <CaseLegalEntityID>126091797</CaseLegalEntityID>
        <AuthenticationTypeID>1</AuthenticationTypeID>
        <AuthenticationTypeName>ת"ז</AuthenticationTypeName>
        <LegalEntityNumber>300924826</LegalEntityNumber>
        <IsMainPartyType>true</IsMainPartyType>
        <CaseDisplayIdentifier>58271-09-23</CaseDisplayIdentifier>
        <CaseTypeID>10001</CaseTypeID>
        <CaseTypeName>ערעור אזרחי (ע"א)</CaseTypeName>
        <CaseName>גרינצייג נ' ציפורי</CaseName>
        <FullAddress>אחדות העבודה 1 גבעתיים </FullAddress>
        <MotionID>0</MotionID>
        <CasePleaID>0</CasePleaID>
        <FatherName>יואל</FatherName>
        <LinkedCaseID>0</LinkedCaseID>
        <PartyID>1</PartyID>
        <CasePartyCategoryID>2</CasePartyCategoryID>
        <LegalEntityAddressID>84509621</LegalEntityAddressID>
        <PleaTypeID>6</PleaTypeID>
        <GroupPartyAlias>מערערים</GroupPartyAlias>
        <IsConverted>false</IsConverted>
        <LegalEntityRegisteredNameID>5441540</LegalEntityRegisteredNameID>
        <LegalEntityNameID>90459471</LegalEntityNameID>
        <RepresentatedNamesOfAssistant/>
        <LegalEntityTypeID>1</LegalEntityTypeID>
        <IsVerdictExists>false</IsVerdictExists>
        <IsAsirAzir>false</IsAsirAzir>
        <MainAndSecSpec/>
        <IsPublicationProhibited>false</IsPublicationProhibited>
        <PublicationProhibitedFullName>אבישי גרינצייג</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אוהד רוזן</FullName>
        <FirstName>אוהד</FirstName>
        <LastName>רוזן</LastName>
        <PartyPropertyName/>
        <AuthenticationTypeAndNumber>מ.ר. 67656</AuthenticationTypeAndNumber>
        <RepresentatedOrRepresentativesNames>אבישי גרינצייג</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261028435</CasePartyID>
        <PartyTypeID>2</PartyTypeID>
        <ActivityStatusID>1</ActivityStatusID>
        <PartyAliasID>24</PartyAliasID>
        <PartyAliasName>בא כוח מערערים</PartyAliasName>
        <OrdinalNumber>1</OrdinalNumber>
        <LegalEntityID>73370864</LegalEntityID>
        <CaseLegalEntityID>126091799</CaseLegalEntityID>
        <AuthenticationTypeID>4</AuthenticationTypeID>
        <AuthenticationTypeName>מ.ר.</AuthenticationTypeName>
        <LegalEntityNumber>67656</LegalEntityNumber>
        <IsMainPartyType>true</IsMainPartyType>
        <CaseDisplayIdentifier>58271-09-23</CaseDisplayIdentifier>
        <CaseTypeID>10001</CaseTypeID>
        <CaseTypeName>ערעור אזרחי (ע"א)</CaseTypeName>
        <CaseName>גרינצייג נ' ציפורי</CaseName>
        <FullAddress>מזא"ה 22א תל אביב -יפו </FullAddress>
        <MotionID>0</MotionID>
        <CasePleaID>0</CasePleaID>
        <LinkedCaseID>0</LinkedCaseID>
        <PartyID>1</PartyID>
        <CasePartyCategoryID>2</CasePartyCategoryID>
        <LegalEntityAddressID>82146285</LegalEntityAddressID>
        <PleaTypeID>6</PleaTypeID>
        <LawyerOfficeName>משרד עו"ד קלעי-רוזן ושות'</LawyerOfficeName>
        <LawyerOfficeID>73831754</LawyerOfficeID>
        <GroupPartyAlias/>
        <IsConverted>false</IsConverted>
        <LegalEntityNameID>78043271</LegalEntityNameID>
        <RepresentatedNamesOfAssistant/>
        <LegalEntityTypeID>4</LegalEntityTypeID>
        <IsVerdictExists>false</IsVerdictExists>
        <IsAsirAzir>false</IsAsirAzir>
        <MainAndSecSpec/>
        <IsPublicationProhibited>false</IsPublicationProhibited>
        <PublicationProhibitedFullName>אוהד רוזן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אוהד מחרז</FullName>
        <FirstName>אוהד</FirstName>
        <LastName>מחרז</LastName>
        <PartyPropertyName/>
        <AuthenticationTypeAndNumber>מ.ר. 43512</AuthenticationTypeAndNumber>
        <RepresentatedOrRepresentativesNames>אלי ציפורי</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261028436</CasePartyID>
        <PartyTypeID>2</PartyTypeID>
        <ActivityStatusID>1</ActivityStatusID>
        <PartyAliasID>23</PartyAliasID>
        <PartyAliasName>בא כוח משיבים</PartyAliasName>
        <OrdinalNumber>1</OrdinalNumber>
        <LegalEntityID>70875767</LegalEntityID>
        <CaseLegalEntityID>126091800</CaseLegalEntityID>
        <AuthenticationTypeID>4</AuthenticationTypeID>
        <AuthenticationTypeName>מ.ר.</AuthenticationTypeName>
        <LegalEntityNumber>43512</LegalEntityNumber>
        <IsMainPartyType>true</IsMainPartyType>
        <CaseDisplayIdentifier>58271-09-23</CaseDisplayIdentifier>
        <CaseTypeID>10001</CaseTypeID>
        <CaseTypeName>ערעור אזרחי (ע"א)</CaseTypeName>
        <CaseName>גרינצייג נ' ציפורי</CaseName>
        <FullAddress>שד' אלונים 2 באר יעקב </FullAddress>
        <MotionID>0</MotionID>
        <CasePleaID>0</CasePleaID>
        <LinkedCaseID>0</LinkedCaseID>
        <PartyID>2</PartyID>
        <CasePartyCategoryID>2</CasePartyCategoryID>
        <LegalEntityAddressID>86224755</LegalEntityAddressID>
        <PleaTypeID>6</PleaTypeID>
        <LawyerOfficeName>משרד עו"ד אוהד מחרז</LawyerOfficeName>
        <LawyerOfficeID>70875768</LawyerOfficeID>
        <GroupPartyAlias/>
        <IsConverted>false</IsConverted>
        <LegalEntityNameID>92741757</LegalEntityNameID>
        <RepresentatedNamesOfAssistant/>
        <LegalEntityTypeID>4</LegalEntityTypeID>
        <IsVerdictExists>false</IsVerdictExists>
        <IsAsirAzir>false</IsAsirAzir>
        <MainAndSecSpec/>
        <IsPublicationProhibited>false</IsPublicationProhibited>
        <PublicationProhibitedFullName>אוהד מחרז</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אלי ציפורי</FullName>
        <FirstName>אלי</FirstName>
        <LastName>ציפורי</LastName>
        <PartyPropertyName/>
        <AuthenticationTypeAndNumber>ת"ז 057509689</AuthenticationTypeAndNumber>
        <RepresentatedOrRepresentativesNames>אוהד מחרז</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261028434</CasePartyID>
        <PartyTypeID>1</PartyTypeID>
        <ActivityStatusID>1</ActivityStatusID>
        <PartyAliasID>4</PartyAliasID>
        <PartyAliasName>משיב</PartyAliasName>
        <OrdinalNumber>1</OrdinalNumber>
        <LegalEntityID>70557798</LegalEntityID>
        <CaseLegalEntityID>126091798</CaseLegalEntityID>
        <AuthenticationTypeID>1</AuthenticationTypeID>
        <AuthenticationTypeName>ת"ז</AuthenticationTypeName>
        <LegalEntityNumber>057509689</LegalEntityNumber>
        <IsMainPartyType>true</IsMainPartyType>
        <CaseDisplayIdentifier>58271-09-23</CaseDisplayIdentifier>
        <CaseTypeID>10001</CaseTypeID>
        <CaseTypeName>ערעור אזרחי (ע"א)</CaseTypeName>
        <CaseName>גרינצייג נ' ציפורי</CaseName>
        <FullAddress>רימלט אלימלך 14 רמת גן מגורי הנתבע</FullAddress>
        <MotionID>0</MotionID>
        <CasePleaID>0</CasePleaID>
        <FatherName>אורי</FatherName>
        <LinkedCaseID>0</LinkedCaseID>
        <PartyID>2</PartyID>
        <CasePartyCategoryID>2</CasePartyCategoryID>
        <LegalEntityAddressID>84509622</LegalEntityAddressID>
        <PleaTypeID>6</PleaTypeID>
        <GroupPartyAlias>משיבים</GroupPartyAlias>
        <IsConverted>false</IsConverted>
        <LegalEntityNameID>90459472</LegalEntityNameID>
        <RepresentatedNamesOfAssistant/>
        <LegalEntityTypeID>1</LegalEntityTypeID>
        <IsVerdictExists>false</IsVerdictExists>
        <IsAsirAzir>false</IsAsirAzir>
        <MainAndSecSpec/>
        <IsPublicationProhibited>false</IsPublicationProhibited>
        <PublicationProhibitedFullName>אלי ציפורי</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2024-08-19T09:35:27.0147299+03:00</DecisionSignatureDate>
    <OpenCaseDate>2023-09-27T15:32:00+03:00</OpenCaseDate>
    <CaseFeeSum>0.000</CaseFeeSum>
    <DecisionTypeID>2</DecisionTypeID>
    <DecisionSignatureUserName>יונה אטדגי</DecisionSignatureUserName>
    <DecisionSignatureDateHebrew>2024-08-19T09:35:27.0147299+03:00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גרינצייג נ' ציפורי</CaseName>
    <DecisionNumberInCase>6</DecisionNumberInCase>
  </dt_Decision>
  <dt_DecisionCase>
    <DecisionID>0</DecisionID>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תובע</RoleName>
        <IsSubProceeding>FALSE</IsSubProceeding>
        <FullName>אבישי גרינצייג</FullName>
        <FirstName>אבישי</FirstName>
        <LastName>גרינצייג</LastName>
        <PartyPropertyName/>
        <AuthenticationTypeAndNumber>ת"ז 300924826</AuthenticationTypeAndNumber>
        <RepresentatedOrRepresentativesNames>אוהד רוזן</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261028433</CasePartyID>
        <PartyTypeID>1</PartyTypeID>
        <ActivityStatusID>1</ActivityStatusID>
        <PartyAliasID>5</PartyAliasID>
        <PartyAliasName>מערער</PartyAliasName>
        <OrdinalNumber>1</OrdinalNumber>
        <LegalEntityID>75377863</LegalEntityID>
        <CaseLegalEntityID>126091797</CaseLegalEntityID>
        <AuthenticationTypeID>1</AuthenticationTypeID>
        <AuthenticationTypeName>ת"ז</AuthenticationTypeName>
        <LegalEntityNumber>300924826</LegalEntityNumber>
        <IsMainPartyType>true</IsMainPartyType>
        <CaseDisplayIdentifier>58271-09-23</CaseDisplayIdentifier>
        <CaseTypeID>10001</CaseTypeID>
        <CaseTypeName>ערעור אזרחי (ע"א)</CaseTypeName>
        <CaseName>גרינצייג נ' ציפורי</CaseName>
        <FullAddress>אחדות העבודה 1 גבעתיים </FullAddress>
        <MotionID>0</MotionID>
        <CasePleaID>0</CasePleaID>
        <FatherName>יואל</FatherName>
        <LinkedCaseID>0</LinkedCaseID>
        <PartyID>1</PartyID>
        <CasePartyCategoryID>2</CasePartyCategoryID>
        <LegalEntityAddressID>84509621</LegalEntityAddressID>
        <PleaTypeID>6</PleaTypeID>
        <GroupPartyAlias>מערערים</GroupPartyAlias>
        <IsConverted>false</IsConverted>
        <LegalEntityRegisteredNameID>5441540</LegalEntityRegisteredNameID>
        <LegalEntityNameID>90459471</LegalEntityNameID>
        <RepresentatedNamesOfAssistant/>
        <LegalEntityTypeID>1</LegalEntityTypeID>
        <IsVerdictExists>false</IsVerdictExists>
        <IsAsirAzir>false</IsAsirAzir>
        <MainAndSecSpec/>
        <IsPublicationProhibited>false</IsPublicationProhibited>
        <PublicationProhibitedFullName>אבישי גרינצייג</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אוהד רוזן</FullName>
        <FirstName>אוהד</FirstName>
        <LastName>רוזן</LastName>
        <PartyPropertyName/>
        <AuthenticationTypeAndNumber>מ.ר. 67656</AuthenticationTypeAndNumber>
        <RepresentatedOrRepresentativesNames>אבישי גרינצייג</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261028435</CasePartyID>
        <PartyTypeID>2</PartyTypeID>
        <ActivityStatusID>1</ActivityStatusID>
        <PartyAliasID>24</PartyAliasID>
        <PartyAliasName>בא כוח מערערים</PartyAliasName>
        <OrdinalNumber>1</OrdinalNumber>
        <LegalEntityID>73370864</LegalEntityID>
        <CaseLegalEntityID>126091799</CaseLegalEntityID>
        <AuthenticationTypeID>4</AuthenticationTypeID>
        <AuthenticationTypeName>מ.ר.</AuthenticationTypeName>
        <LegalEntityNumber>67656</LegalEntityNumber>
        <IsMainPartyType>true</IsMainPartyType>
        <CaseDisplayIdentifier>58271-09-23</CaseDisplayIdentifier>
        <CaseTypeID>10001</CaseTypeID>
        <CaseTypeName>ערעור אזרחי (ע"א)</CaseTypeName>
        <CaseName>גרינצייג נ' ציפורי</CaseName>
        <FullAddress>מזא"ה 22א תל אביב -יפו </FullAddress>
        <MotionID>0</MotionID>
        <CasePleaID>0</CasePleaID>
        <LinkedCaseID>0</LinkedCaseID>
        <PartyID>1</PartyID>
        <CasePartyCategoryID>2</CasePartyCategoryID>
        <LegalEntityAddressID>82146285</LegalEntityAddressID>
        <PleaTypeID>6</PleaTypeID>
        <LawyerOfficeName>משרד עו"ד קלעי-רוזן ושות'</LawyerOfficeName>
        <LawyerOfficeID>73831754</LawyerOfficeID>
        <GroupPartyAlias/>
        <IsConverted>false</IsConverted>
        <LegalEntityNameID>78043271</LegalEntityNameID>
        <RepresentatedNamesOfAssistant/>
        <LegalEntityTypeID>4</LegalEntityTypeID>
        <IsVerdictExists>false</IsVerdictExists>
        <IsAsirAzir>false</IsAsirAzir>
        <MainAndSecSpec/>
        <IsPublicationProhibited>false</IsPublicationProhibited>
        <PublicationProhibitedFullName>אוהד רוזן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אוהד מחרז</FullName>
        <FirstName>אוהד</FirstName>
        <LastName>מחרז</LastName>
        <PartyPropertyName/>
        <AuthenticationTypeAndNumber>מ.ר. 43512</AuthenticationTypeAndNumber>
        <RepresentatedOrRepresentativesNames>אלי ציפורי</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261028436</CasePartyID>
        <PartyTypeID>2</PartyTypeID>
        <ActivityStatusID>1</ActivityStatusID>
        <PartyAliasID>23</PartyAliasID>
        <PartyAliasName>בא כוח משיבים</PartyAliasName>
        <OrdinalNumber>1</OrdinalNumber>
        <LegalEntityID>70875767</LegalEntityID>
        <CaseLegalEntityID>126091800</CaseLegalEntityID>
        <AuthenticationTypeID>4</AuthenticationTypeID>
        <AuthenticationTypeName>מ.ר.</AuthenticationTypeName>
        <LegalEntityNumber>43512</LegalEntityNumber>
        <IsMainPartyType>true</IsMainPartyType>
        <CaseDisplayIdentifier>58271-09-23</CaseDisplayIdentifier>
        <CaseTypeID>10001</CaseTypeID>
        <CaseTypeName>ערעור אזרחי (ע"א)</CaseTypeName>
        <CaseName>גרינצייג נ' ציפורי</CaseName>
        <FullAddress>שד' אלונים 2 באר יעקב </FullAddress>
        <MotionID>0</MotionID>
        <CasePleaID>0</CasePleaID>
        <LinkedCaseID>0</LinkedCaseID>
        <PartyID>2</PartyID>
        <CasePartyCategoryID>2</CasePartyCategoryID>
        <LegalEntityAddressID>86224755</LegalEntityAddressID>
        <PleaTypeID>6</PleaTypeID>
        <LawyerOfficeName>משרד עו"ד אוהד מחרז</LawyerOfficeName>
        <LawyerOfficeID>70875768</LawyerOfficeID>
        <GroupPartyAlias/>
        <IsConverted>false</IsConverted>
        <LegalEntityNameID>92741757</LegalEntityNameID>
        <RepresentatedNamesOfAssistant/>
        <LegalEntityTypeID>4</LegalEntityTypeID>
        <IsVerdictExists>false</IsVerdictExists>
        <IsAsirAzir>false</IsAsirAzir>
        <MainAndSecSpec/>
        <IsPublicationProhibited>false</IsPublicationProhibited>
        <PublicationProhibitedFullName>אוהד מחרז</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אלי ציפורי</FullName>
        <FirstName>אלי</FirstName>
        <LastName>ציפורי</LastName>
        <PartyPropertyName/>
        <AuthenticationTypeAndNumber>ת"ז 057509689</AuthenticationTypeAndNumber>
        <RepresentatedOrRepresentativesNames>אוהד מחרז</RepresentatedOrRepresentativesNames>
        <RepresentatedOrRepresentativesCount>1</RepresentatedOrRepresentativesCount>
        <InvitedBy/>
        <CaseID>80633740</CaseID>
        <CaseJudicialPersonPresentationDS>
          <CaseJudicalPersonActive>
            <CaseID>80633740</CaseID>
            <JudicialPersonID>012356945@GOV.IL</JudicialPersonID>
            <JudicialPersonTypeID>1</JudicialPersonTypeID>
            <JudicialTypeID>3</JudicialTypeID>
            <IsChairman>true</IsChairman>
            <TreatmentStartDate>2023-10-17T09:54:00.463+03:00</TreatmentStartDate>
            <TreatmentFinishDate>9999-12-31T23:59:59+02:00</TreatmentFinishDate>
            <IdentificationCardNumber>012356945</IdentificationCardNumber>
            <DisplayName>יונה אטדגי</DisplayName>
            <JudicialTypeName>הרכב שופטים</JudicialTypeName>
            <CaseJudicialGroupNumber>554429</CaseJudicialGroupNumber>
            <FirstName>יונה</FirstName>
            <LastName>אטדגי</LastName>
            <JudicialPersonTitle>שופט</JudicialPersonTitle>
          </CaseJudicalPersonActive>
          <CaseJudicalPersonActive>
            <CaseID>80633740</CaseID>
            <JudicialPersonID>028649267@GOV.IL</JudicialPersonID>
            <JudicialPersonTypeID>1</JudicialPersonTypeID>
            <JudicialTypeID>3</JudicialTypeID>
            <IsChairman>false</IsChairman>
            <TreatmentStartDate>2023-10-17T09:54:00.467+03:00</TreatmentStartDate>
            <TreatmentFinishDate>9999-12-31T23:59:59+02:00</TreatmentFinishDate>
            <IdentificationCardNumber>028649267</IdentificationCardNumber>
            <DisplayName>אריאל צימרמן</DisplayName>
            <JudicialTypeName>הרכב שופטים</JudicialTypeName>
            <CaseJudicialGroupNumber>554429</CaseJudicialGroupNumber>
            <FirstName>אריאל</FirstName>
            <LastName>צימרמן</LastName>
            <JudicialPersonTitle>שופט</JudicialPersonTitle>
          </CaseJudicalPersonActive>
          <CaseJudicalPersonActive>
            <CaseID>80633740</CaseID>
            <JudicialPersonID>033159567@GOV.IL</JudicialPersonID>
            <JudicialPersonTypeID>1</JudicialPersonTypeID>
            <JudicialTypeID>3</JudicialTypeID>
            <IsChairman>false</IsChairman>
            <TreatmentStartDate>2023-10-17T09:54:00.467+03:00</TreatmentStartDate>
            <TreatmentFinishDate>9999-12-31T23:59:59+02:00</TreatmentFinishDate>
            <IdentificationCardNumber>033159567</IdentificationCardNumber>
            <DisplayName>טל לוי-מיכאלי</DisplayName>
            <JudicialTypeName>הרכב שופטים</JudicialTypeName>
            <CaseJudicialGroupNumber>554429</CaseJudicialGroupNumber>
            <FirstName>טל</FirstName>
            <LastName>לוי-מיכאלי</LastName>
            <JudicialPersonTitle>שופט</JudicialPersonTitle>
          </CaseJudicalPersonActive>
        </CaseJudicialPersonPresentationDS>
        <CasePartyID>261028434</CasePartyID>
        <PartyTypeID>1</PartyTypeID>
        <ActivityStatusID>1</ActivityStatusID>
        <PartyAliasID>4</PartyAliasID>
        <PartyAliasName>משיב</PartyAliasName>
        <OrdinalNumber>1</OrdinalNumber>
        <LegalEntityID>70557798</LegalEntityID>
        <CaseLegalEntityID>126091798</CaseLegalEntityID>
        <AuthenticationTypeID>1</AuthenticationTypeID>
        <AuthenticationTypeName>ת"ז</AuthenticationTypeName>
        <LegalEntityNumber>057509689</LegalEntityNumber>
        <IsMainPartyType>true</IsMainPartyType>
        <CaseDisplayIdentifier>58271-09-23</CaseDisplayIdentifier>
        <CaseTypeID>10001</CaseTypeID>
        <CaseTypeName>ערעור אזרחי (ע"א)</CaseTypeName>
        <CaseName>גרינצייג נ' ציפורי</CaseName>
        <FullAddress>רימלט אלימלך 14 רמת גן מגורי הנתבע</FullAddress>
        <MotionID>0</MotionID>
        <CasePleaID>0</CasePleaID>
        <FatherName>אורי</FatherName>
        <LinkedCaseID>0</LinkedCaseID>
        <PartyID>2</PartyID>
        <CasePartyCategoryID>2</CasePartyCategoryID>
        <LegalEntityAddressID>84509622</LegalEntityAddressID>
        <PleaTypeID>6</PleaTypeID>
        <GroupPartyAlias>משיבים</GroupPartyAlias>
        <IsConverted>false</IsConverted>
        <LegalEntityNameID>90459472</LegalEntityNameID>
        <RepresentatedNamesOfAssistant/>
        <LegalEntityTypeID>1</LegalEntityTypeID>
        <IsVerdictExists>false</IsVerdictExists>
        <IsAsirAzir>false</IsAsirAzir>
        <MainAndSecSpec/>
        <IsPublicationProhibited>false</IsPublicationProhibited>
        <PublicationProhibitedFullName>אלי ציפורי</PublicationProhibitedFullName>
      </CaseParties>
    </CasePartiesSelectionDS>
    <CaseName>גרינצייג נ' ציפורי</CaseName>
    <CaseDisplayIdentifier>58271-09-23</CaseDisplayIdentifier>
    <CaseInterestID>10432</CaseInterestID>
    <CaseTypeShortName>ע"א</CaseTypeShortName>
  </dt_DecisionCase>
  <dt_DecisionCase>
    <DecisionID>0</DecisionID>
    <CaseID>80635013</CaseID>
    <CaseJudicialPersonPresentationDS/>
    <CasePartiesSelectionDS/>
    <CaseName>ציפורי נ' גרינצייג</CaseName>
    <CaseDisplayIdentifier>59505-09-23</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028649267@GOV.IL</JudgeID>
    <DisplayName>צימרמן</DisplayName>
    <RoleName>שופט</RoleName>
    <UserTitleName>שופט</UserTitleName>
  </dt_DecisionJudgePanel>
  <dt_DecisionJudgePanel>
    <JudgeID>033159567@GOV.IL</JudgeID>
    <DisplayName>לוי-מיכאלי</DisplayName>
    <RoleName>שופט</RoleName>
    <UserTitleName>שופטת</UserTitleName>
  </dt_DecisionJudgePanel>
  <dt_LegalEntityDetails>
    <Fax>077-4447852</Fax>
    <PartyID>1</PartyID>
    <PartyTypeID>1</PartyTypeID>
    <DecisionID>0</DecisionID>
    <StreetName>אחדות העבודה 1</StreetName>
    <CityName>גבעתיים</CityName>
    <FullName>אבישי גרינצייג</FullName>
    <IsPublicationProhibited>false</IsPublicationProhibited>
  </dt_LegalEntityDetails>
  <dt_LegalEntityDetails>
    <AddressDesc>מגורי הנתבע</AddressDesc>
    <PartyID>2</PartyID>
    <PartyTypeID>1</PartyTypeID>
    <DecisionID>0</DecisionID>
    <StreetName>רימלט אלימלך 14</StreetName>
    <ZipCode>5228112</ZipCode>
    <CityName>רמת גן</CityName>
    <FullName>אלי ציפורי</FullName>
    <IsPublicationProhibited>false</IsPublicationProhibited>
  </dt_LegalEntityDetails>
  <dt_LegalEntityDetails>
    <Fax>03-9070771</Fax>
    <Phone>03-9070770</Phone>
    <AddressDesc/>
    <PartyID>1</PartyID>
    <PartyTypeID>2</PartyTypeID>
    <DecisionID>0</DecisionID>
    <StreetName>מזא"ה 22א</StreetName>
    <ZipCode>6521337</ZipCode>
    <CityName>תל אביב -יפו</CityName>
    <FullName>אוהד רוזן</FullName>
    <Email>hagai@kalai-rosen.com</Email>
    <IsPublicationProhibited>false</IsPublicationProhibited>
  </dt_LegalEntityDetails>
  <dt_LegalEntityDetails>
    <PartyID>2</PartyID>
    <PartyTypeID>2</PartyTypeID>
    <DecisionID>0</DecisionID>
    <StreetName>שד' אלונים 2</StreetName>
    <ZipCode>7031804</ZipCode>
    <CityName>באר יעקב</CityName>
    <FullName>אוהד מחרז</FullName>
    <Email>ohadmeh@walla.co.il</Email>
    <IsPublicationProhibited>false</IsPublicationProhibited>
  </dt_LegalEntityDetails>
  <dt_CaseJudicalPersonActive>
    <CaseJudicalPerson>שופט יונה אטדגי, שופט אריאל צימרמן, שופטת טל לוי-מיכאלי</CaseJudicalPerson>
  </dt_CaseJudicalPersonActive>
  <dt_Sitting>
    <PreviousMeetingDate>2024-04-11T10:20:00+03:00</PreviousMeetingDate>
    <PreviousSittingTypeID>5</PreviousSittingTypeID>
    <PreviousMeetingDisplayName>יונה אטדגי, אריאל צימרמן, טל לוי-מיכאלי</PreviousMeetingDisplayName>
    <PreviousMeetingUserUPN>012356945@GOV.IL, 028649267@GOV.IL, 033159567@GOV.IL</PreviousMeetingUserUPN>
  </dt_Sitting>
</DecisionTemplateDS>
</file>

<file path=customXml/itemProps1.xml><?xml version="1.0" encoding="utf-8"?>
<ds:datastoreItem xmlns:ds="http://schemas.openxmlformats.org/officeDocument/2006/customXml" ds:itemID="{0C983A43-4288-4C56-81F5-638E8198896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1596</Words>
  <Characters>7982</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2024-08-27T08:30:00Z</dcterms:created>
  <dcterms:modified xsi:type="dcterms:W3CDTF">2024-08-27T08:30:00Z</dcterms:modified>
</cp:coreProperties>
</file>